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汇添富利率债债券型证券投资基金更新基金产品资料概要(2024年06月07日更新)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汇添富利率债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472007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2020年10月30日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何旻</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2022年04月29日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1998年07月01日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2023年02月20日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2013年07月08日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在科学严格管理风险的前提下，本基金力争创造超越业绩比较基准的较高收益。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利率债（国债、央行票据、政策性金融债）、债券回购、银行存款、同业存单、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本基金不投资于股票、可转换债券、可交换债券、信用债和国债期货。</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利率债资产的比例不低于非现金基金资产的80%。本基金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本基金采取的投资策略主要包括久期策略、骑乘策略、期限结构配置策略、息差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中债-总全价（总值）指数收益率×90%+银行活期存款利率（税后）×10%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4205768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2873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《基金合同》生效后与基金相关的律师费/诉讼费/仲裁费、基金份额持有人大会费用、基金的证券等交易费用、基金的银行汇划费用/账户开户费用/账户维护费用等费用。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特定风险、流动性风险、本基金法律文件风险收益特征表述与销售机构基金风险评价可能不一致的风险、操作或技术风险、合规性风险、其他风险，其中特定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根据本基金投资范围的规定，本基金投资于债券资产的比例不低于基金资产的80%，其中投资于利率债资产的比例不低于非现金基金资产的80%。如果债券市场出现整体下跌，本基金将无法完全避免债券市场系统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本基金主要投资于政策性金融债，可能面临以下风险：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1、政策性金融债流动性风险。政策性金融债市场投资者行为具有一定趋同性，在极端市场环境下可能集中买入或卖出，存在流动性风险。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2、投资集中度风险。政策性金融债发行人较为单一，若单一主体发生重大事项变化，可能对基金净值表现产生较大影响。</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理财7天债券型证券投资基金以通讯方式召开基金份额持有人大会，会议审议通过了《关于汇添富理财7天债券型证券投资基金转型的议案》。自2020年10月30日起，《汇添富利率债债券型证券投资基金基金合同》生效，原《汇添富理财7天债券型证券投资基金基金合同》同日起失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2020年8月4日至2020年8月31日汇添富理财7天债券型证券投资基金以通讯方式召开基金份额持有人大会，会议审议通过了《关于汇添富理财7天债券型证券投资基金转型的议案》，内容包括汇添富理财7天债券型证券投资基金修改运作方式、投资目标、投资范围、投资策略、估值方法、基金费率、基金份额分类等及修订基金合同等，并同意将汇添富理财7天债券型证券投资基金更名为“汇添富利率债债券型证券投资基金”，上述基金份额持有人大会决议自表决通过之日起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自2020年10月30日起，《汇添富利率债债券型证券投资基金基金合同》生效，《汇添富理财7天债券型证券投资基金基金合同》同日起失效。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