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汇添富纳斯达克100交易型开放式指数证券投资基金发起式联接基金（QDII）人民币A类份额更新基金产品资料概要(2024年06月07日更新)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汇添富纳斯达克100ETF发起式联接（QDII）人民币A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的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美元份额所对应的基金资产净值需按计算日中国人民银行公布的人民币对美元汇率中间价折算为人民币）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本基金的标的指数为纳斯达克100指数及其未来可能发生的变更。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美国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等）、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本基金的投资策略主要包括：资产配置策略；目标ETF的投资策略；成份股、备选成份股投资策略；金融衍生品投资策略；资产支持证券投资策略；境内融资投资策略；参与境内转融通证券出借业务策略；境内外存托凭证的投资策略及汇率避险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经人民币汇率调整的纳斯达克100指数收益率*95%+商业银行活期存款利率（税后）*5%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本基金为汇添富纳斯达克100ETF的联接基金，其预期的风险与收益高于混合型基金、债券型基金与货币市场基金。本基金通过投资目标ETF，紧密跟踪标的指数，具有与标的指数相似的风险收益特征。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人民币A类基金份额的特定投资群体申购费用为每笔500元；未通过本公司直销中心申购本基金人民币A类基金份额的特定投资群体，申购费率参照其他投资者适用的人民币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港股通投资而产生的各项合理费用；按照国家有关规定和《基金合同》约定，可以在基金财产中列支的其他费用。2、本基金的管理费以前一日基金资产净值扣除所持有目标ETF份额所对应的资产净值后余额（若为负数，则取0）为基础计提。3、本基金的托管费以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技术或会计核算风险、法律风险、交易结算风险、合规性风险、本基金法律文件风险收益特征表述与销售机构基金风险评价可能不一致的风险、税负增加风险及其他风险。其中特有风险包括：1、联接基金风险；2、基金投资资产支持证券的风险；3、金融衍生品投资风险；4、基金参与境内融资与转融通证券出借业务的风险；5、税务风险；6、正回购/逆回购风险；7、证券借贷风险；8、大宗交易风险；9、投资境外市场股票的风险；10、存托凭证投资风险；11、作为发起式基金存在的风险；12、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