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汇添富均衡增长混合型证券投资基金更新基金产品资料概要(2024年06月07日更新)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汇添富均衡增长混合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519018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2006年08月07日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顾耀强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2019年08月24日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2004年07月01日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詹杰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2022年04月28日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2011年04月18日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应用“由上而下”和“自下而上”相结合的投资策略，通过行业的相对均衡配置和投资布局于具有持续增长潜质的企业，在有效控制风险的前提下，分享中国经济的持续增长，以持续稳定地获取较高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存托凭证、债券、权证以及经中国证监会批准的允许基金投资的其他金融工具。如法律法规或监管机构以后允许本基金投资其他品种，基金管理人在履行适当程序后，可以将其纳入投资范围。四类资产配置的比例范围：股票及存托凭证60-95%，债券0-35%，权证0-3%，现金类资产最低为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由上而下”和“自下而上”相结合的投资方法，适度动态调整资产配置，行业保持相对均衡配置，同时通过三级过滤模型来构建核心股票池，深入剖析核心股票池企业的增长逻辑和增长战略，以达到审慎精选，并对投资组合进行积极而有效的风险管理。本基金的投资策略主要包括：资产配置策略、行业配置策略、股票投资策略、债券投资策略、权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沪深300指数收益率*80%+上证国债指数收益率*20%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本基金为混合型基金，其预期收益及风险水平低于股票型基金，高于债券型基金及货币市场基金，属于中高收益/风险特征的基金。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1511238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3143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申购费（后收费）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365天≤N&lt;730天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730天≤N&lt;1095天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1095天≤N&lt;1460天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1460天≤N&lt;1825天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N≥1825天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365天≤N&lt;730天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暂不收取销售服务费，但根据基金合同约定，基金管理人可以选取适当的时机（但应于中国证监会发布有关收取开放式证券投资基金销售费用的规定后）开始计提销售服务费，但至少应提前2个工作日在指定媒介上公告。公告中应规定计提销售服务费的条件、程序、用途和费率标准。</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《基金合同》生效后与基金相关的律师费、基金份额持有人大会费用、基金的证券交易费用、银行汇划费用以及按照国家有关规定和《基金合同》约定，可以在基金财产中列支的其他费用。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本基金的风险包括：市场风险、管理风险、流动性风险、特有风险、操作或技术风险、合规性风险、股票期权投资风险、科创板股票投资风险、其他风险。其中特有风险具体如下：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本基金属于混合型基金，通过自下而上的个股和债券精选进行投资，对基金管理人的投资能力要求较高，如果基金管理人个股或个券选择失误，投资人需要承担相应的风险。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本基金使用股指期货作为风险对冲工具，股指期货交易采用保证金交易制度，由于保证金交易具有杠杆性，存在潜在损失可能成倍放大的风险。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本基金还可能面临启用侧袋机制的风险。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根据基金管理人2015年8月5日刊登的《汇添富基金管理股份有限公司关于变更旗下“股票型证券投资基金”的基金名称并相应修订基金合同部分条款的公告》，汇添富均衡增长股票型证券投资基金自2015年8月5日起更名为汇添富均衡增长混合型证券投资基金。</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