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汇添富彭博中国政策性银行债券1-3年指数证券投资基金A类份额更新基金产品资料概要(2024年06月07日更新)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汇添富彭博政金债1-3年</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012128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汇添富彭博政金债1-3年A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012128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2021年10月15日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何旻</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1998年07月01日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本基金进行被动式指数化投资，紧密跟踪标的指数，追求跟踪偏离度和跟踪误差的最小化。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本基金主要投资于标的指数成份券及备选成份券。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为更好地实现基金的投资目标，本基金还可以投资于具有良好流动性的金融工具，包括国内依法发行上市的政策性金融债、债券回购以及银行存款。本基金不投资于除政策性金融债以外的债券资产。</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基金的投资组合比例为：本基金投资于债券资产的比例不低于基金资产的80%；其中投资于标的指数成份券和备选成份券的比例不低于本基金非现金基金资产的 80%；本基金持有现金或者到期日在一年以内的政府债券的比例合计不低于基金资产净值的 5%，其中现金不包括结算备付金、存出保证金、应收申购款等。本基金的标的指数为彭博中国政策性银行债券1-3年指数（Bloomberg China Policy Bank 1-3 Year Index）及其未来可能发生的变更。</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本基金为指数基金，采用优化抽样复制法。</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通过对标的指数中各成份债券的历史数据和流动性分析，选取流动性较好的债券构建组合，对标的指数的久期等指标进行跟踪，达到复制标的指数、降低交易成本的目的。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正常市场情况下，本基金的风险控制目标是追求日均跟踪偏离度的绝对值不超过0.35%，年化跟踪误差不超过4%。如因标的指数编制规则调整等其他原因，导致基金跟踪偏离度和跟踪误差超过了上述范围，基金管理人应采取合理措施，避免跟踪偏离度和跟踪误差的进一步扩大。</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运作过程中，当标的指数成份券发生明显负面事件面临违约，且指数编制机构暂未作出调整的，基金管理人应当按照基金份额持有人利益优先的原则，履行内部决策程序后及时对相关成份券进行调整。本基金的投资策略主要包括优化抽样复制策略和替代性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彭博中国政策性银行债券1-3年指数收益率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债券型基金，其预期收益及风险水平低于股票型基金、混合型基金，高于货币市场基金。本基金采用优化抽样复制策略，跟踪彭博中国政策性银行债券1-3年指数，其风险收益特征与标的指数所表征的市场组合的风险收益特征相似。</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01631369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74768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通过本公司直销中心申购本基金A类基金份额的特定投资群体申购费率为每笔500元。未通过本公司直销中心申购本基金A类基金份额的特定投资群体，申购费率参照其他投资者适用的申购费率执行。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《基金合同》生效后与基金相关的律师费/诉讼费/仲裁费、基金份额持有人大会费用、证券等交易费用、银行汇划费用、账户开户费用、账户维护费用等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1、标的指数波动的风险；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2、基金投资组合回报与标的指数回报偏离的风险及跟踪误差未达约定目标的风险；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3、标的指数变更的风险以及指数编制机构停止服务的风险；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4、投资政策性金融债的风险。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