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汇添富汇鑫浮动净值型货币市场基金A类份额更新基金产品资料概要(2024年06月07日更新)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汇添富汇鑫货币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007868</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汇添富汇鑫货币A</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007868</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上海浦东发展银行股份有限公司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2019年09月10日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货币市场基金</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普通开放式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王骏杰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2020年08月26日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2014年09月01日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在保持基金资产的低风险和高流动性的前提下，力争实现超越业绩比较基准的投资回报。</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投资于具有良好流动性的金融工具，包括现金；期限在1年以内(含1年)的银行存款、债券回购、中央银行票据、同业存单；剩余期限在397天以内(含397天)的债券、非金融企业债务融资工具、资产支持证券及中国证监会、中国人民银行认可的其他具有良好流动性的货币市场工具。</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 xml:space="preserve">  法律法规或监管机构以后允许基金投资的其他品种，基金管理人在履行适当程序后，可以将其纳入投资范围，其投资比例遵循届时有效法律法规或相关规定。</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本基金将结合宏观分析和微观分析制定投资策略，力求在满足安全性、流动性需要的基础上实现更高的收益率。具体投资策略包括滚动配置策略、久期控制策略、套利策略和时机选择策略。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活期存款利率（税后）</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本基金为货币市场证券投资基金，是证券投资基金中的低风险品种。本基金的预期风险和预期收益低于股票型基金、混合型基金、债券型基金。</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155970563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364818"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315"/>
        <w:gridCol w:w="4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本基金A类基金份额不收取申购费。</w:t>
            </w: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赎回费</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本基金原则上不收取赎回费用。出现以下情形之一的，基金管理人应当对当日单个基金份额持有人申请赎回基金份额超过基金总份额1%以上的赎回申请征收1%的强制赎回费，并将上述赎回费用全额计入基金资产。基金管理人与基金托管人协商确认上述做法无益于基金利益最大化的情形除外：</w:t>
            </w:r>
          </w:p>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（1）当本基金持有的现金、国债、中央银行票据、政策性金融债以及5个交易日内到期的其他金融工具占基金资产净值的比例合计低于5%时；</w:t>
            </w:r>
          </w:p>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（2）当本基金前10名基金份额持有人的持有份额合计超过基金总份额50%，且本基金投资组合中现金、国债、中央银行票据、政策性金融债以及5个交易日内到期的其他金融工具占基金资产净值的比例低于10%时。</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0.15%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0.05%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0.15%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《基金合同》生效后与基金相关的律师费、仲裁费和诉讼费，基金份额持有人大会费用，基金的证券交易费用、银行汇划费用、开户费用、账户维护费用。</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0.57%</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本基金不提供任何保证。投资者可能损失投资本金。</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的风险包括市场风险、管理风险、流动性风险、特有风险、本基金法律文件风险收益特征表述与销售机构基金风险评价可能不一致的风险、税负增加风险、操作或技术风险、合规性风险和其他风险，其中特有风险包括：</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1、本基金投资于货币市场工具，可能面临较高货币市场利率波动的系统性风险以及流动性风险。</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2、本基金可投资资产支持证券，资产支持证券在国内市场尚处发展初期，具有低流动性、高收益的特征，并存在一定的投资风险。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 xml:space="preserve">本基金的争议解决处理方式为仲裁。具体仲裁机构和仲裁地点详见本基金合同的具体约定。 </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