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汇添富进取成长混合型证券投资基金C类份额更新基金产品资料概要(2024年06月07日更新)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汇添富进取成长混合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015223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汇添富进取成长混合C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015224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2009年09月09日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花秀宁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本基金在科学严格管理风险的前提下，通过精选个股，谋求基金资产的中长期稳健增值。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成长风格优质上市公司。本基金的投资策略包括：资产配置策略、个股精选策略、债券投资策略、资产支持证券投资策略、股指期货投资策略、股票期权投资策略、融资投资策略、国债期货投资策略、可转债及可交换债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中证500指数收益率*70%+恒生指数收益率（使用估值汇率折算）*10%+中债综合全价(总值)指数收益率*20%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507825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25327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以及其他风险。其中特有风险包括：1、股指期货投资风险；2、股票期权投资风险；3、国债期货投资风险；4、参与融资交易风险；5、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