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汇添富沪港深新价值股票型证券投资基金更新基金产品资料概要(2024年06月07日更新)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汇添富沪港深新价值股票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001685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2016年07月27日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黄耀锋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王志華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1993年03月01日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企业内在价值是股价中长期走势的决定因素。本基金精选价值相对低估的优质企业进行中长期投资，采用自下而上的投资方法，以基本面分析为立足点，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依法发行上市的股票（包含中小板、创业板、其他经中国证监会核准上市的股票）、存托凭证、港股通标的股票、股票期权、债券、货币市场工具、股指期货、国债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不低于基金资产的80%（其中投资于港股通标的股票的比例占基金资产的0-95%）；基金持有全部权证的市值不得超过基金资产净值的3%；每个交易日日终在扣除股指期货和国债期货合约需缴纳的保证金以后，基金保留的现金或投资于到期日在一年以内的政府债券的比例合计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个股精选策略、债券投资策略、资产支持证券投资策略、股指期货投资策略、国债期货投资策略、股票期权投资策略、权证投资策略、融资投资策略、存托凭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沪深300指数收益率*10%+恒生港股通指数收益率（经汇率调整后）*70%+中债综合指数收益率*20%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其预期风险和预期收益高于货币市场基金、债券型基金、混合型基金，属于证券投资基金中较高预期风险、较高预期收益的基金产品。本基金投资范围包括港股通标的股票，还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030148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04071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基金的证券/期货交易费用、基金的银行汇划费用/开户费用/账户维护费用、因投资规定范围内的香港联合交易所上市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其中特有风险包括：本基金是主动管理的较高预期风险、较高预期收益的股票型基金；投资风险包括股指期货投资风险、股票期权投资风险、融资交易风险、国债期货投资风险、资产支持证券投资风险、港股通标的股票投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