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汇添富黄金及贵金属证券投资基金(LOF)C类份额更新基金产品资料概要(2024年06月07日更新)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汇添富黄金及贵金属（QDII-LOF-FOF）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164701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汇添富黄金及贵金属(QDII-LOF-FOF)C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018543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布朗兄弟哈里曼银行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2011年08月31日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自2023年5月19日起，汇添富黄金及贵金属证券投资基金(LOF)增设C类基金份额。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深入研究影响黄金及其他贵金属(如白银、铂金、钯金等)价格的主要因素，把握不同品种贵金属的长期价格趋势和短期市场波动，通过主动投资于有实物黄金或其他实物贵金属支持的交易所交易基金(ETF)，在严格控制风险的前提下，力争基金收益率超越同期黄金价格走势。</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主要包括已与中国证监会签署双边监管合作谅解备忘录的国家或地区证券监管机构登记注册的公募基金中有实物黄金或其他实物贵金属支持的交易所交易基金（ETF）、货币市场工具以及中国证监会允许本基金投资的其他金融工具。此外，本基金为对冲本外币的汇率风险，可以投资于外汇远期合约、外汇互换协议、期权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实物黄金或其他实物贵金属支持的交易所交易基金（ETF）是指以标准化的实物黄金或其他实物贵金属为基础资产，并可以用实物黄金或其他实物贵金属申购赎回基金份额的ETF。</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有实物黄金或其他实物贵金属支持的交易所交易基金（ETF）的比例不低于基金资产的90%；基金保留的现金或投资于到期日在一年以内的政府债券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本基金投资其他品种，基金管理人在履行适当程序后，可以将其纳入本基金投资范围。如法律法规或中国证监会变更投资品种的比例限制的，基金管理人在与基金托管人协商一致并履行相关程序后，可相应调整本基金的投资比例限制规定，不需经基金份额持有人大会审议。</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综合考虑国际政治、经济、汇市、战争、主要国家货币和利率政策、贵金属市场供求等多方面因素，本基金重点投资于境外上市有实物黄金或其他实物贵金属支持的交易所交易基金（ETF），长期持有结合动态调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本基金主要投资策略包括贵金属资产配置策略、交易所交易基金（ETF）投资策略、货币市场工具投资策略以及金融衍生工具投资策略。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伦敦金价格收益率(折成人民币后)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本基金为基金中基金，属于证券投资基金中较高预期风险、较高预期收益的品种，主要投资于境外有实物黄金或其他实物贵金属支持的交易所交易基金（ETF），其预期风险收益水平与黄金价格相似。</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40500.00元/年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的证券交易费用及在境外市场的交易、清算、登记等实际发生的费用；基金份额持有人大会费用；《基金合同》生效后与基金相关的律师费等根据有关法规、《基金合同》及相应协议的规定，由基金管理人根据其他有关法规及相应协议的规定，按费用支出金额支付，列入或摊入当期基金费用；基金依照有关法律法规应当缴纳的，购买或处置证券有关的任何税收、征费、关税、印花税、交易及其他税收及预扣提税（以及与前述各项有关的任何利息及费用）；基金的银行汇划费用；经生效的司法文书判决或裁定明确应由基金财产承担的与基金有关的诉讼、追索费用；基金上市费及年费；基金外汇交易的相关费用；因更换境外托管人而进行的资产转移所产生的费用以及按照国家有关规定和《基金合同》约定，可以在基金财产中列支的其他费用。本基金终止清算时所发生费用，按实际支出额从基金财产总值中扣除。</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1.80%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为基金中基金，主要投资于纽约、伦敦、苏黎世、多伦多、香港、悉尼等发达证券市场上有实物黄金或其他实物贵金属支持的ETF，基金净值会因为实物黄金或其他实物贵金属价格波动等因素产生波动。基金投资中出现的风险分为如下两类：一是境外投资风险，包括投资标的风险、汇率及外汇管制风险、政治风险、税务风险、法律风险等；二是开放式基金风险，包括利率风险、流动性风险、操作风险、会计核算风险、交易结算风险、技术系统运行风险、通讯风险、不可抗力风险、QDII基金LOF模式风险等。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