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汇添富季季红定期开放债券型证券投资基金更新基金产品资料概要(2024年06月07日更新)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汇添富季季红定期开放债券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164702</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2012年07月26日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2012年10月25日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三年定期开放</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2018年08月21日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2012年12月03日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如本基金发生明显损害剩余持有人利益的大规模净赎回申请，其中净赎回申请为赎回申请总数加上基金转换中转出申请份额总数后扣除申购申请总数及基金转换中转入申请份额总数后的余额，本基金基金合同将终止，履行清算程序，不需要召开基金份额持有人大会。</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场内简称：汇添富季季红定开</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本基金主要投资于债券类固定收益品种，在严格管理投资风险的基础上，追求资产的长期稳定增值。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包括国内依法发行上市的股票(包括中小板、创业板及其他经中国证监会核准上市的股票)、债券、货币市场工具、权证、资产支持证券以及法律法规或中国证监会允许基金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固定收益类金融工具，包括中小企业私募债券、公司债、企业债、可转换债券、可分离债券、短期融资券、中期票据、资产支持证券、国债、金融债、债券回购、央行票据、银行存款(同业存款、银行通知存款)以及法律法规或中国证监会允许投资的其他金融工具(但须符合中国证监会的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本基金可投资于一级市场新股申购、股票增发以及可转债转股所得的股票或权证等中国证监会允许基金投资的其它金融工具，但不可直接从二级市场上买入股票和权证。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在封闭期内，本基金投资于债券资产的比例不低于基金资产的80%(但在开放期开始前三个月至开放期结束后三个月内，不受前述投资组合比例的限制)；权益类资产的投资比例合计不超过基金资产的20%。在开放期内，本基金持有的现金或到期日在1年以内的政府债券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本基金的投资策略主要包括：资产配置策略、债券投资策略、可转债投资策略、新股申购策略、权证投资策略、其他衍生工具投资策略、中小企业私募债券投资策略。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银行三年期定期存款利率(税后)+1%</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本基金为债券型基金，属于证券投资基金中的较低风险品种，其预期风险与收益高于货币市场基金，低于混合型基金和股票型基金。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13468824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50679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0.40%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0.24%</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0.16%</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场内份额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场内份额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在场外认购以及本基金开放期场外申购的投资者其份额持有年限以份额实际持有年限为准；在场内认购、场内申购以及场内买入，并转托管至场外赎回的投资者其份额持有年限自份额转托管至场外之日起开始计算。</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40500.00元/年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80000.00元/年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基金上市初费及上市月费、基金财产拨划支付的银行费用、基金合同生效后的律师费、基金份额持有人大会费用、基金的证券交易费用、基金的开户费用、账户维护费用等费用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1.11%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本基金的风险包括市场风险、管理风险、流动性风险、特有风险、操作或技术风险、合规性风险、其他风险，其中特有风险包括：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1、开放期的基金合同终止风险；2、折溢价风险；3、巨额赎回顺延支付的风险；4、投资中小企业私募债券的风险；5、启用侧袋机制的风险。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中国证监会对本基金募集的核准，并不表明其对本基金的价值和收益作出实质性判断或保证，也不表明投资于本基金没有风险。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