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汇添富精选核心优势一年持有期混合型证券投资基金C类份额更新基金产品资料概要(2024年06月07日更新)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汇添富精选核心优势一年持有混合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汇添富精选核心优势一年持有混合C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2002年05月01日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2012年07月16日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本基金采用自下而上的投资方法，以基本面分析为立足点，在科学严格管理风险的前提下，重点投资于具有核心优势的优质上市公司，谋求基金资产的中长期稳健增值。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核心优势主题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核心优势主题相关的优质上市公司。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中证800指数收益率*50%+恒生指数收益率(使用估值汇率折算)*20%+中债综合指数收益率*30%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048742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92675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一年最短持有期，投资者面临在最短持有期到期日前将面临不能赎回的风险；9、启用侧袋机制的风险；10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