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汇添富精选核心优势一年持有期混合型证券投资基金A类份额更新基金产品资料概要(2024年06月07日更新)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汇添富精选核心优势一年持有混合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013123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汇添富精选核心优势一年持有混合A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013123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2021年09月07日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最短持有期一年</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王栩</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2021年09月07日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2002年05月01日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张朋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2021年09月07日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2012年07月16日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对于每份基金份额设置一年的最短持有期，在最短持有期内基金份额持有人不能提出赎回申请，最短持有期届满后方可提出赎回申请。以红利再投资方式取得的基金份额的持有到期时间与投资者原持有的基金份额最短持有期到期时间一致，因多笔认购、申购导致原持有基金份额最短持有期不一致的，分别计算。</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本基金采用自下而上的投资方法，以基本面分析为立足点，在科学严格管理风险的前提下，重点投资于具有核心优势的优质上市公司，谋求基金资产的中长期稳健增值。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创业板及其他经中国证监会核准或注册上市的股票）、存托凭证、港股通标的股票、债券（包括国债、央行票据、金融债券、企业债券、公司债券、中期票据、短期融资券、超短期融资券、公开发行的次级债券、政府机构债券、地方政府债券、可交换债券、可转换债券（含分离交易可转债的纯债部分）及其他经中国证监会允许投资的债券）、资产支持证券、债券回购、同业存单、银行存款（包括协议存款、定期存款及其他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股票资产及存托凭证占基金资产的比例不低于60%（其中投资于港股通标的股票的比例不超过股票资产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本基金投资于核心优势主题上市公司股票资产及存托凭证占非现金基金资产的比例不低于80%。</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个股精选策略。其中，资产配置策略用于确定大类资产配置比例以有效规避系统性风险；个股精选策略主要用于挖掘核心优势主题相关的优质上市公司。本基金的投资策略还包括债券投资策略、资产支持证券投资策略、可转债及可交换债投资策略、股指期货投资策略、股票期权投资策略、融资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中证800指数收益率*50%+恒生指数收益率(使用估值汇率折算)*20%+中债综合指数收益率*30%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54806900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546848"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其他投资者</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其他投资者</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500万元≤M&lt;1000万元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其他投资者</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M≥1000万元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其他投资者</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通过直销中心申购本基金A类基金份额的特定投资群体申购费用为每笔500元。未通过直销中心申购本基金A类基金份额的特定投资群体，申购费率参照其他投资者适用的A类基金份额申购费率执行。</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本基金A类基金份额不收取赎回费。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等交易费用、基金的银行汇划费用、基金的开户费用、账户维护费用、因投资港股通标的股票而产生的各项合理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1.44%</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管理风险、流动性风险、特有风险、税负增加风险、操作或技术风险、合规性风险、本基金法律文件风险收益特征表述与销售机构基金风险评价可能不一致的风险、其他风险。其中特有风险包括：1、股指期货投资风险；2、股票期权投资风险；3、国债期货投资风险；4、参与融资交易风险；5、投资港股通标的股票的风险；6、资产支持证券投资风险；7、流通受限证券投资风险；8、本基金设置一年最短持有期，投资者面临在最短持有期到期日前将面临不能赎回的风险；9、启用侧袋机制的风险；10、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