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汇添富恒生科技交易型开放式指数证券投资基金发起式联接基金（QDII）C类份额更新基金产品资料概要(2024年06月07日更新)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汇添富恒生科技ETF联接发起式（QDII）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汇添富恒生科技ETF联接发起式（QDII）C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香港上海汇丰银行有限公司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但基金合同另有约定除外。</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恒生科技指数型发起式证券投资基金（QDII）基金合同》生效日起满三年之日（指自然日），若本基金的基金资产净值低于2亿元人民币的，基金合同自动终止，且不得通过召开基金份额持有人大会延续基金合同期限。</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r w:rsidRPr="0074720D">
        <w:rPr>
          <w:rFonts w:ascii="宋体" w:eastAsia="宋体" w:hAnsi="宋体" w:cs="方正仿宋简体"/>
          <w:iCs/>
          <w:szCs w:val="21"/>
        </w:rPr>
        <w:t>注：本基金由汇添富恒生科技指数型发起式证券投资基金（QDII）于2022年10月31日根据相关约定自动转型而来，原《汇添富恒生科技指数型发起式证券投资基金（QDII）基金合同》于2021年10月26日起生效。本次转型后的《汇添富恒生科技交易型开放式指数证券投资基金发起式联接基金（QDII）基金合同》自2022年10月31日起生效。本基金的基金经理自2021年10月26日起即担任基金经理，期间未发生变动。</w:t>
      </w: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通过投资于目标ETF，紧密跟踪标的指数表现，追求跟踪偏离度和跟踪误差的最小化。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本基金的标的指数为恒生科技指数及其未来可能发生的变更。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本基金投资于目标ETF、标的指数的成份股、备选成份股和其他香港联合交易所上市的股票（含港股通标的股票）。此外，本基金还可投资于以下金融产品或工具：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主板、创业板、其他依法上市的股票、存托凭证）、股指期货、国债期货、股票期权、债券（国债、金融债、企业（公司）债、次级债、可交换债券、可转换债券（含分离交易可转债）、央行票据、中期票据、短期融资券（含超短期融资券）等）、资产支持证券、债券回购、银行存款、同业存单、货币市场工具等资产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目标ETF的比例不低于基金资产净值的90%；每个交易日日终在扣除境内金融衍生品合约需缴纳的交易保证金后，现金或到期日在一年以内的政府债券的投资比例合计不低于基金资产净值的5%，其中现金不包括结算备付金、存出保证金和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本基金力争日均跟踪偏离度的绝对值不超过0.5%，年跟踪误差不超过5%。本基金的投资策略主要包括：资产配置策略、目标ETF的投资策略、成份股/备选成份股投资策略、固定收益类资产投资策略、衍生品投资策略、资产支持证券投资策略、境内融资投资策略、参与境内转融通证券出借业务策略、境内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经人民币汇率调整的恒生科技指数收益率*95%+商业银行活期存款利率(税后)*5%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汇添富恒生科技交易型开放式指数证券投资基金（QDII）的联接基金，其预期的风险与收益高于混合型基金、债券型基金与货币市场基金。本基金通过投资目标ETF，紧密跟踪标的指数，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本基金主要投资于境外证券市场，除了需要承担与境内证券投资基金类似的市场波动风险等一般投资风险之外，本基金还将面临汇率风险、境外证券市场风险等特殊投资风险。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243212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725482"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1.《基金合同》生效后与基金相关的律师费/仲裁费/诉讼费、基金份额持有人大会费用、基金的证券交易费用及在境外市场的交易、清算、登记等实际发生的费用（out-of-pocket fees）、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基金依照有关法律法规应当缴纳的，购买或处置证券有关的任何税收、征费、关税、印花税及预扣提税（以及与前述各项有关的任何利息及费用）、因投资港股通标的股票而产生的各项合理费用、按照国家有关规定和《基金合同》约定，可以在基金财产中列支的其他费用。2.本基金的管理费按前一日基金资产净值扣除所持有目标ETF份额所对应的资产净值后余额（若为负数，则取0）为基础计提。3.本基金的托管费按前一日基金资产净值扣除所持有目标ETF份额所对应的资产净值后余额（若为负数，则取0）为基础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操作或技术风险、法律风险、本基金法律文件风险收益特征表述与销售机构基金风险评价可能不一致的风险及其他风险。其中特有风险包括：1、投资于目标ETF基金带来的风险；2、跟踪偏离风险或导致跟踪误差未达约定目标的风险；3、指数化投资风险（包括：标的指数回报与股票市场平均回报偏离的风险、标的指数的流动性风险、标的指数波动的风险、基金投资组合回报与标的指数回报偏离的风险及跟踪误差未达约定目标的风险、标的指数变更的风险以及指数编制机构停止服务的风险、成份股停牌的风险）；4、与目标ETF业绩差异的风险；5、其他投资于目标ETF的风险；6、基金投资资产支持证券的风险；7、股指期货、股票期权、国债期货等金融衍生品投资风险；8、基金参与境内融资与转融通证券出借业务的风险；9、税务风险；10、正回购/逆回购风险；11、证券借贷风险；12、大宗交易风险；13、通过港股通机制投资港股的风险；14、境内存托凭证投资风险；15、启用侧袋机制的风险；16、基金合同自动终止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中国证监会对汇添富恒生科技指数型发起式证券投资基金（QDII）转型为本基金的备案，并不表明其对本基金的价值和收益作出实质性判断或保证，也不表明投资于本基金没有风险。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