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汇添富聚焦价值成长三个月持有期混合型基金中基金（FOF）更新基金产品资料概要(2024年06月07日更新)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汇添富聚焦价值成长三个月混合FOF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008168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每份基金份额设置三个月的最短持有期限</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程竹成</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2024年01月17日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2014年05月05日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本基金以积极的投资风格进行长期资产配置，通过构建与收益风险水平相匹配的基金组合，在控制投资风险并保持良好流动性的前提下，追求基金资产的长期增值。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封闭式基金、开放式基金、上市开放式基金（LOF）和交易型开放式指数基金（ETF）、QDII基金、香港互认基金等）。为更好地实现投资目标，本基金还可投资于股票（包含主板、中小板、创业板及其他中国证监会允许上市的股票）、存托凭证、债券（包含国债、金融债、企业债、公司债、地方政府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FOF），投资于证券投资基金的比例不低于基金资产的80%，其中投资于股票型证券投资基金、偏股混合型证券投资基金（指基金合同中约定股票及存托凭证投资比例不低于60%的混合型证券投资基金）的比例合计为基金资产的55%-85%，投资于货币市场基金的比例不高于基金资产的15%，持有现金或到期日在一年以内的政府债券的投资比例合计不低于基金资产净值的5%。本基金所指的现金类资产范围不包括结算备付金、存出保证金、应收申购款等资金类别，法律法规另有规定的从其规定。</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遵循“价值与成长并重”的理念，并通过全方位的定量和定性分析方法精选出基金管理人旗下优质基金构建投资组合，以适度稳定的资产配置策略有效综合基金管理人主动投资管理能力，实现基金资产的长期、持续、稳定增值。本基金的投资策略主要包括：资产配置策略、基金投资策略（包括但不限于公募REITs投资策略）、股票投资策略、存托凭证投资策略、债券投资策略、资产支持证券投资策略、风险管理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 +中债综合指数收益率×40%。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本基金为混合型基金中基金，其预期风险和收益水平高于债券型基金、货币市场基金、债券型基金中基金和货币型基金中基金，低于股票型基金和股票型基金中基金。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537787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58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本基金管理费率1%，本基金对基金财产中持有的本基金管理人自身管理的基金部分不收取管理费。</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本基金托管费率0.2%，本基金对基金财产中持有的本基金托管人自身托管的基金部分不收取托管费。</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交易费用；基金投资其他基金产生的其他基金的销售费用，但法律法规禁止从基金财产中列支的除外；基金的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1.23%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信用风险、操作或技术风险、合规性风险、特有风险、本基金法律文件风险收益特征表述与销售机构基金风险评价可能不一致的风险和其他风险等，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主要投资于经中国证监会依法核准或注册的公开募集证券投资基金，净值表现将主要受其投资的其他基金表现之影响，并须承担投资其他基金有关的风险，其中包括市场、利率、货币、经济、流动性和政治等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基金投资资产支持证券，资产支持证券的投资可能面临的风险领域包括：信用风险、利率风险、流动性风险、提前偿付风险、操作风险和法律风险等，这些风险可能会给基金净值带来一定的负面影响和损失。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本基金可投资公募REITs，将面临投资公募REITs的特有风险，包括但不限于：1）价格波动风险；2）基础设施项目运营风险；3）流动性风险；4）公募REITs作为上市基金存在的风险；5）税收等政策调整风险。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对每份基金份额设定最短持有期限，对投资者存在流动性风险。本基金主要运作方式设置为允许投资者每个工作日申购，但对于每份基金份额设定最短持有期限，最短持有期限内基金份额持有人不能就该基金份额提出赎回申请。</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