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汇添富恒生香港上市生物科技交易型开放式指数证券投资基金（QDII）更新基金产品资料概要(2024年06月07日更新)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汇添富恒生香港上市生物科技ETF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513280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摩根大通银行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2022年12月07日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1、本基金的场内简称：恒生生物；扩位证券简称：恒生生物科技ETF；认购代码：513283。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本基金的标的指数为恒生香港上市生物科技指数及其未来可能发生的变更。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本基金投资于标的指数的成份股、备选成份股和其他香港联合交易所上市的股票（含港股通标的股票）。此外，本基金还可投资于以下金融产品或工具：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衍生工具（股指期货、国债期货、股票期权等），债券（国债、金融债、企业（公司）债、次级债、可交换债券、可转换债券（含分离交易可转债）、央行票据、中期票据、短期融资券（含超短期融资券）等）、资产支持证券、债券回购、银行存款、同业存单、货币市场工具等资产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比例不低于基金资产的80%；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的投资策略主要包括：资产配置策略、债券投资策略、资产支持证券投资策略、金融衍生工具投资策略、参与境内融资投资策略、参与境内转融通证券出借业务策略、境内外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经人民币汇率调整的恒生香港上市生物科技指数收益率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06721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89884"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《基金合同》生效后与基金相关的律师费、诉讼费和仲裁费，基金份额持有人大会费用，基金的证券/期货等交易费用及在境外市场的交易、清算、登记等实际发生的费用（out-of-pocket fees），基金的上市费，基金的开户费用、账户维护费用，基金的银行汇划费用和外汇兑换交易的相关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 6、基金份额二级市场交易价格折溢价的风险；7、参考IOPV决策和IOPV计算错误的风险；8、退市风险；9、投资者申购失败的风险；10、投资者赎回失败的风险；11、代理申赎投资者买券卖券的风险；12、申购赎回清单差错风险；13、第三方机构服务的风险；14、基金投资资产支持证券的风险；15、金融衍生品投资风险；16、基金参与境内融资与转融通证券出借业务的风险；17、基金投资港股的风险；18、存托凭证投资风险；19、正回购/逆回购风险；20、境外证券借贷风险；21、基金收益分配后基金份额净值低于面值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