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汇添富价值领先混合型证券投资基金更新基金产品资料概要(2024年06月07日更新)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汇添富价值领先混合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012820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2021年08月17日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胡昕炜</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2021年08月17日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郑慧莲</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2021年08月17日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本基金采用自下而上的投资方法，以基本面分析为立足点，在科学严格管理风险的前提下，重点投资于优质上市公司，谋求基金资产的中长期稳健增值。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创业板及其他经中国证监会核准或注册上市的股票）、存托凭证、港股通标的股票、债券（包括国债、央行票据、金融债券、企业债券、公司债券、中期票据、短期融资券、超短期融资券、公开发行的次级债券、政府机构债券、地方政府债券、可交换债券、可转换债券（含分离交易可转债的纯债部分）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资产及存托凭证投资占基金资产的比例不低于60%（其中投资于港股通标的股票的比例不超过股票资产及存托凭证投资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投资于优质上市公司，伴随上市公司共同成长，分享上市公司成长带来的红利。本基金的投资策略还包括债券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中证800指数收益率*60%+中证港股通综合指数收益率*20%+中债综合指数收益率*20%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1692079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84371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1.91%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操作或技术风险、合规性风险、本基金法律文件风险收益特征表述与销售机构基金风险评价可能不一致的风险、启用侧袋机制的风险、税负增加风险及其他风险。其中，特有风险包括：1、股指期货投资风险；2、股票期权投资风险；3、国债期货投资风险；4、参与融资交易风险；5、投资港股通标的股票的风险；6、资产支持证券投资风险；7、流通受限证券投资风险；8、存托凭证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