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汇添富竞争优势灵活配置混合型证券投资基金更新基金产品资料概要(2024年06月07日更新)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汇添富竞争优势灵活配置混合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007639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2019年09月04日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赵鹏飞</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2008年01月01日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本基金采用自下而上的投资方法，以基本面分析为立足点，在科学严格管理风险的前提下，精选优质个股进行中长期投资，为基金份额持有人谋求基金资产的中长期稳健增值。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港股通标的股票、存托凭证、债券(包括国债、央行票据、金融债券、企业债券、公司债券、中期票据、短期融资券、超短期融资券、公开发行的次级债券、政府支持债券、地方政府债券、可交换债券、中小企业私募债券、可转换债券(含分离交易可转债的纯债部分)及其他经中国证监会允许投资的债券)、资产支持证券、债券回购、同业存单、银行存款(包括协议存款、定期存款及其他银行存款)、货币市场工具、权证、股指期货、股票期权、国债期货以及法律法规或中国证监会允许基金投资的其他金融工具(但须符合中国证监会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为0%-95%(其中投资于港股通标的股票占股票资产的比例不超过50%)。每个交易日日终在扣除股指期货、国债期货和股票期权合约需缴纳的交易保证金后，本基金持有现金或到期日在一年以内的政府债券的投资比例合计不低于基金资产净值的5%。本基金所指的现金不包括结算备付金、存出保证金、应收申购款等。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用于挖掘股票市场中行业背景良好、商业模式清晰、公司治理优良、竞争优势突出且估值相对合理的上市公司。本基金的投资策略还包括：债券投资策略、中小企业私募债券投资策略、资产支持证券投资策略、股指期货投资策略、股票期权投资策略、权证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1098380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08357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仲裁费、基金份额持有人大会费用、基金的证券/期货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税负增加风险、操作或技术风险、合规性风险及其它风险。其中特有风险包括：1、中小企业私募债券投资风险；2、股指期货投资风险；3、股票期权投资风险；4、国债期货投资风险；5、参与融资交易风险；6、投资港股通标的股票投资风险；7、资产支持证券投资风险；8、流通受限证券投资风险；9、存托凭证投资风险；10、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汇添富3年封闭运作竞争优势灵活配置混合型证券投资基金封闭期自2019年9月4日起至2022年9月4日止，自2022年9月5日起转为开放式运作，基金名称变更为“汇添富竞争优势灵活配置混合型证券投资基金”。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中国证监会对汇添富3年封闭运作竞争优势灵活配置混合型证券投资基金募集的注册，并不表明其对本基金的价值和收益作出实质性判断或保证，也不表明投资于本基金没有风险。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