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汇添富汇鑫浮动净值型货币市场基金B类份额更新基金产品资料概要(2024年06月07日更新)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汇添富汇鑫货币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007868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汇添富汇鑫货币B</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007869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上海浦东发展银行股份有限公司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2019年09月10日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货币市场基金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王骏杰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2020年08月26日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2014年09月01日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在保持基金资产的低风险和高流动性的前提下，力争实现超越业绩比较基准的投资回报。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具有良好流动性的金融工具，包括现金；期限在1年以内(含1年)的银行存款、债券回购、中央银行票据、同业存单；剩余期限在397天以内(含397天)的债券、非金融企业债务融资工具、资产支持证券及中国证监会、中国人民银行认可的其他具有良好流动性的货币市场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  法律法规或监管机构以后允许基金投资的其他品种，基金管理人在履行适当程序后，可以将其纳入投资范围，其投资比例遵循届时有效法律法规或相关规定。</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本基金将结合宏观分析和微观分析制定投资策略，力求在满足安全性、流动性需要的基础上实现更高的收益率。具体投资策略包括滚动配置策略、久期控制策略、套利策略和时机选择策略。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活期存款利率（税后）</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本基金为货币市场证券投资基金，是证券投资基金中的低风险品种。本基金的预期风险和预期收益低于股票型基金、混合型基金、债券型基金。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2399352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451334"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本基金B类基金份额不收取申购费。</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原则上不收取赎回费用。出现以下情形之一的，基金管理人应当对当日单个基金份额持有人申请赎回基金份额超过基金总份额1%以上的赎回申请征收1%的强制赎回费，并将上述赎回费用全额计入基金资产。基金管理人与基金托管人协商确认上述做法无益于基金利益最大化的情形除外：</w:t>
            </w:r>
          </w:p>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（1）当本基金持有的现金、国债、中央银行票据、政策性金融债以及5个交易日内到期的其他金融工具占基金资产净值的比例合计低于5%时；</w:t>
            </w:r>
          </w:p>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（2）当本基金前10名基金份额持有人的持有份额合计超过基金总份额50%，且本基金投资组合中现金、国债、中央银行票据、政策性金融债以及5个交易日内到期的其他金融工具占基金资产净值的比例低于10%时。</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《基金合同》生效后与基金相关的律师费、仲裁费和诉讼费，基金份额持有人大会费用，基金的证券交易费用、银行汇划费用、开户费用、账户维护费用。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0.43%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本基金法律文件风险收益特征表述与销售机构基金风险评价可能不一致的风险、税负增加风险、操作或技术风险、合规性风险和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1、本基金投资于货币市场工具，可能面临较高货币市场利率波动的系统性风险以及流动性风险。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2、本基金可投资资产支持证券，资产支持证券在国内市场尚处发展初期，具有低流动性、高收益的特征，并存在一定的投资风险。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