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汇添富华证专精特新100指数型发起式证券投资基金C类份额更新基金产品资料概要(2024年06月07日更新)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汇添富华证专精特新100指数发起式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018774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汇添富华证专精特新100指数发起式C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018775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若将来本基金管理人推出同一标的指数的交易型开放式指数基金（ETF），则基金管理人适时履行适当程序后可使本基金采取ETF联接基金模式并相应修改《基金合同》，届时无需召开基金份额持有人大会。</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本基金的标的指数为华证专精特新100指数及其未来可能发生的变更。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的资产的比例不低于非现金基金资产的80%；每个交易日日终在扣除股指期货、国债期货和股票期权合约需缴纳的交易保证金后，现金或到期日在一年以内的政府债券的投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力争日均跟踪偏离度的绝对值不超过0.35%，年跟踪误差不超过4%。本基金的投资策略主要包括：股票投资策略；债券投资策略；资产支持证券投资策略；股指期货投资策略；国债期货投资策略；股票期权投资策略；融资投资策略；参与转融通证券出借业务策略及存托凭证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华证专精特新100指数收益率×95%+银行人民币活期存款利率（税后）×5%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操作或技术风险、合规性风险、法律文件风险收益特征表述与销售机构基金风险评价可能不一致的风险、启用侧袋机制的风险及其他风险。其中特有风险包括：1、标的指数回报与股票市场平均回报偏离的风险；2、标的指数的流动性风险；3、标的指数波动的风险；4、基金投资组合回报与标的指数回报偏离的风险及跟踪误差未达约定目标的风险；5、标的指数变更的风险以及指数编制机构停止服务的风险；6、成份股停牌的风险；7、股指期货、股票期权、国债期货等金融衍生品投资风险；8、基金参与融资与转融通证券出借业务的风险；9、基金投资资产支持证券的风险；10、存托凭证投资风险；11、发起式基金的特有风险；12、未来条件许可情况下的基金模式转换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