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汇添富环保行业股票型证券投资基金更新基金产品资料概要(2024年06月07日更新)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汇添富环保行业股票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000696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2020年05月20日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2009年09月09日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本基金采用自下而上的策略，以基本面分析为立足点，主要投资于环保行业的优质上市公司，在科学严格管理风险的前提下，谋求基金资产的持续稳健增值。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国内依法发行上市的股票（含中小板、创业板及其他经中国证监会核准上市的股票）、存托凭证、债券（含国债、金融债、央行票据、公司债、企业债、地方政府债、可转换债券、可分离债券、短期融资券、中期票据、中小企业私募债券等）、债券回购、货币市场工具、股指期货、权证、资产支持证券、银行存款（含定期存款、协议存款、大额存单等）以及法律法规或中国证监会允许基金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生产环保设备（含防大气污染设备、消除噪声设备、监测仪器设备、废水处理、废弃物管理和循环利用设备等）、提供环保服务（含控制大气污染、消除噪声、处理废弃物及处理废水等）、供应清洁生产技术和清洁产品（含清洁生产技术与设备，为能源节约与管理、能源转换及存储等活动提供生产设备和相应技术，新能源、清洁能源和可再生能源的开发及节能技术、设备，生态标志食品和绿色食品等）及供需结构因国家环保政策得到优化的上市公司定义为环保行业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组合比例为：80%以上的基金资产投资于股票及存托凭证，其中投资于环保行业上市公司股票的资产及存托凭证不低于非现金基金资产的80%；其余资产投资于债券、货币市场工具、股指期货、权证、资产支持证券、银行存款以及法律法规或中国证监会允许基金投资的其他金融工具。其中，基金持有全部权证的市值不得超过基金资产净值的3%；基金持有单只中小企业私募债，其市值不得超过基金资产净值的10%；每个交易日日终在扣除股指期货交易保证金以后，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股票投资的主要策略包括资产配置策略和个股精选策略。其中，资产配置策略用于确定大类资产配置比例以有效规避系统性风险；个股精选策略用于挖掘具有核心竞争优势和持续增长潜力且估值水平相对合理的环保行业优质上市公司，辅以严格的风险管理，以获得中长期的较高投资收益。投资策略的重点是个股精选策略。本基金的投资策略还包括：债券投资策略、中小企业私募债券投资策略、股指期货投资策略、权证投资策略、资产支持证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中证环保产业指数收益率*80%+中证全债指数收益率*20%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本基金为股票型基金，属于证券投资基金中较高预期风险、较高预期收益的品种，其预期风险、预期收益水平高于混合型基金、债券型基金及货币市场基金。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327672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131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30天≤N&lt;90天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90天≤N&lt;180天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《基金合同》生效后与基金相关的律师费、诉讼费、基金份额持有人大会费用、基金的证券/期货交易费用、基金的银行汇划费用、基金的证券开户费用/期货开户费用、银行账户维护费用等费用。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包括：行业投资风险（主要投资于环保行业上市公司的股票型基金，行业投资集中度非常明显）、其他投资风险（参与股指期货、权证、中小企业私募债券、股指期货、权证、存托凭证等特定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