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汇添富华证专精特新100指数型发起式证券投资基金A类份额更新基金产品资料概要(2024年06月07日更新)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汇添富华证专精特新100指数发起式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018774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汇添富华证专精特新100指数发起式A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018774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基金合同生效满三年之日（指自然日），若基金资产净值低于2亿元人民币的，基金合同自动终止，且不得通过召开基金份额持有人大会延续基金合同期限。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若将来本基金管理人推出同一标的指数的交易型开放式指数基金（ETF），则基金管理人适时履行适当程序后可使本基金采取ETF联接基金模式并相应修改《基金合同》，届时无需召开基金份额持有人大会。</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本基金的标的指数为华证专精特新100指数及其未来可能发生的变更。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基金还可投资于包括国内依法发行上市的股票（包括主板、创业板及其他经中国证监会允许上市的股票、存托凭证）、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资产不低于基金资产的90%，投资于标的指数成份股、备选成份股的资产的比例不低于非现金基金资产的80%；每个交易日日终在扣除股指期货、国债期货和股票期权合约需缴纳的交易保证金后，现金或到期日在一年以内的政府债券的投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力争日均跟踪偏离度的绝对值不超过0.35%，年跟踪误差不超过4%。本基金的投资策略主要包括：股票投资策略；债券投资策略；资产支持证券投资策略；股指期货投资策略；国债期货投资策略；股票期权投资策略；融资投资策略；参与转融通证券出借业务策略及存托凭证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华证专精特新100指数收益率×95%+银行人民币活期存款利率（税后）×5%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通过本公司直销中心申购本基金A类基金份额的特定投资群体申购费用为每笔500元；未通过本公司直销中心申购本基金A类基金份额的特定投资群体，申购费率参照其他投资者适用的A类基金份额的申购费率执行。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1.59%</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操作或技术风险、合规性风险、法律文件风险收益特征表述与销售机构基金风险评价可能不一致的风险、启用侧袋机制的风险及其他风险。其中特有风险包括：1、标的指数回报与股票市场平均回报偏离的风险；2、标的指数的流动性风险；3、标的指数波动的风险；4、基金投资组合回报与标的指数回报偏离的风险及跟踪误差未达约定目标的风险；5、标的指数变更的风险以及指数编制机构停止服务的风险；6、成份股停牌的风险；7、股指期货、股票期权、国债期货等金融衍生品投资风险；8、基金参与融资与转融通证券出借业务的风险；9、基金投资资产支持证券的风险；10、存托凭证投资风险；11、发起式基金的特有风险；12、未来条件许可情况下的基金模式转换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