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汇添富均衡配置个股精选六个月持有期混合型证券投资基金A类份额更新基金产品资料概要(2024年06月07日更新)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汇添富均衡精选六个月持有混合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011681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汇添富均衡精选六个月持有混合A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011681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最短持有期六个月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2023年06月14日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六个月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本基金采用自下而上的投资方法，以基本面分析为立足点，在科学严格管理风险的前提下，精选优质个股，谋求基金资产的中长期稳健增值。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的优质上市公司，同时注重行业均衡和风格均衡。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中证800指数收益率*50%+恒生指数收益率(使用估值汇率折算)*20%+中债综合指数收益率*30%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268792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7502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通过直销中心申购本基金A类基金份额的特定投资群体申购费用为每笔500元。未通过直销中心申购本基金A类基金份额的特定投资群体，申购费率参照非特定投资群体适用的申购费率执行。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1.53%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六个月最短持有期，投资者面临在最短持有期到期日前将面临不能赎回的风险；9、启用侧袋机制的风险；10、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