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汇添富进取成长混合型证券投资基金A类份额更新基金产品资料概要(2024年06月07日更新)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汇添富进取成长混合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015223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汇添富进取成长混合A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015223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2022年09月14日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赵剑</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2022年09月14日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2009年09月09日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花秀宁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2024年03月15日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2017年09月27日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本基金为偏股混合基金。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本基金在科学严格管理风险的前提下，通过精选个股，谋求基金资产的中长期稳健增值。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核准或注册上市的股票、存托凭证）、港股通标的股票、债券（包括国债、央行票据、金融债券、企业债券、公司债券、中期票据、短期融资券、超短期融资券、次级债券、政府机构债券、地方政府债券、可交换债券、可转换债券（含分离交易可转债））、资产支持证券、债券回购、同业存单、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用于挖掘股票市场中成长风格优质上市公司。本基金的投资策略包括：资产配置策略、个股精选策略、债券投资策略、资产支持证券投资策略、股指期货投资策略、股票期权投资策略、融资投资策略、国债期货投资策略、可转债及可交换债投资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中证500指数收益率*70%+恒生指数收益率（使用估值汇率折算）*10%+中债综合全价(总值)指数收益率*20%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本基金还可投资港股通标的股票，将面临港股通机制下因投资环境、投资标的、市场制度以及交易规则等差异带来的特有风险。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62508767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535665"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N≥6个月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通过直销中心申购本基金A类基金份额的特定投资群体申购费用为每笔 500元。未通过直销中心申购本基金A类基金份额的特定投资群体，申购费率参照非特定投资群体适用的A类基金份额申购费率执行。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开户费用、账户维护费用；因投资港股通标的股票而产生的各项合理费用，包括证券组合费、交易征费、股份交收费、交易系统使用费、交易费等；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1.45%</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税负增加风险、操作或技术风险、合规性风险、本基金法律文件风险收益特征表述与销售机构基金风险评价可能不一致的风险以及其他风险。其中特有风险包括：1、股指期货投资风险；2、股票期权投资风险；3、国债期货投资风险；4、参与融资交易风险；5、投资港股通标的股票的风险；6、资产支持证券投资风险；7、流通受限证券投资风险；8、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