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汇添富多元收益债券型证券投资基金A类份额更新基金产品资料概要(2024年06月07日更新)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汇添富多元收益债券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汇添富多元收益债券A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470010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2012年09月18日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刘通</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2020年06月10日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温宇峰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1994年02月01日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本基金主要投资于债券类固定收益品种，在承担合理风险和保持资产流动性的基础上，适度参与权益类资产投资，力争实现资产的长期稳定增值。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于具有良好流动性的金融工具，包括国内依法发行上市的股票(包括中小板、创业板及其他经中国证监会核准上市的股票)、存托凭证、债券、货币市场工具、权证、资产支持证券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具有良好流动性的固定收益类金融工具，包括国债、金融债、央行票据、公司债、企业债、可转换债券、可分离债券、短期融资券、中期票据、资产支持证券、债券回购、银行存款(包括定期存款及协议存款)，以及法律法规或中国证监会允许投资的其他固定收益类品种。</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一级市场新股申购、持有可转债转股所得的股票、因所持股票所派发的权证以及因投资可分离债券而产生的权证，也可直接从二级市场上买入股票和权证。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固定收益类资产的比例不低于基金资产的80%，权益类资产(包括股票、存托凭证、权证，以及法律法规或中国证监会允许投资的其他权益类品种)的投资比例合计不超过基金资产的20%，其中基金持有的全部权证的市值不超过基金资产净值的3%，持有的现金或到期日在1年以内的政府债券不低于基金资产净值的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将密切关注股票、债券市场的运行状况与风险收益特征，分析宏观经济运行状况和金融市场运行趋势，判断不同资产类别在经济周期的不同阶段的相对投资价值，以动态调整大类资产配置比例。在此基础上，本基金将自上而下决定类属资产配置及组合久期，并依据内部信用评级系统，综合考察信用债券的信用评级，以及流动性情况、收益率水平等，自下而上地精选个券；同时，本基金还将通过精选出具有持续竞争优势且估值有吸引力的股票，在严格控制基金资产运作风险的基础上，把握股票市场投资机会，力争实现组合的稳健增值。本基金的投资策略主要包括：大类资产配置策略、类属资产配置策略、债券投资策略、股票投资策略、权证投资策略。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中债综合指数*90%+沪深300指数*10%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本基金为债券型基金，其预期风险和预期收益低于股票型基金和混合型基金，高于货币市场基金。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4111739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9078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0.32%</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100万元≤M&lt;300万元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0.12%</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100万元≤M&lt;300万元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365天≤N&lt;730天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因基金的证券交易或结算而产生的费用、基金份额持有人大会费用、基金合同生效以后的律师费、基金资产的资金汇划费用等费用。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本基金的风险包括：市场风险、管理风险、流动性风险、特有风险、操作或技术风险、合规性风险、其它风险。其中特有风险具体如下：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本基金投资于固定收益类资产的比例不低于基金资产的80%，因此可能面临因固定收益类资产市场的系统性风险和个券风险。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本基金将不超过20%的基金资产投资于权益类金融工具，通过参与新股申购、投资二级市场权益类资产，以增强收益。因此，本基金将可能面临因参与新股申购，在新股流通受限期间无法上市交易所带来的流动性风险；因少量投资可转债或二级市场权益类资产而承担一定程度的市场整体或个别证券价格下跌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