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汇添富MSCI中国A50互联互通交易型开放式指数证券投资基金更新基金产品资料概要(2024年06月07日更新)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汇添富MSCI中国A50互联互通ETF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560050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2021年11月08日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1、本基金的场内简称：MSCIA50；扩位证券简称：MSCI中国A50ETF。</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当本基金不再具备上市条件而被上海证券交易所终止上市的，本基金可由交易型开放式基金变更为跟踪标的指数的非上市的开放式指数基金，而无需召开基金份额持有人大会审议。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基金的标的指数为MSCI中国A50互联互通人民币指数（MSCI China A50 Connect RMB Index）及其未来可能发生的变更。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MSCI中国A50互联互通人民币指数收益率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13018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0656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集合申购业务的风险；18、第三方机构服务的风险；19、基金投资资产支持证券的风险；20、股指期货、国债期货、股票期权等金融衍生品投资风险；21、基金参与融资与转融通证券出借业务的风险；22、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