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汇添富国企创新增长股票型证券投资基金D类份额更新基金产品资料概要(2024年06月07日更新)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001490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015124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蔡志文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自2022年2月14日起增设汇添富国企创新增长股票型证券投资基金C类、D类基金份额。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本基金采用自下而上的投资方法，以基本面分析为立足点，精选国企创新主题的优质上市公司，结合市场脉络，做中长期布局，在科学严格管理风险的前提下，谋求基金资产的中长期稳健增值。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股票期权、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 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不低于基金资产的80%；基金持有全部权证的市值不得超过基金资产净值的3%；每个交易日日终在扣除股指期货合约需缴纳的保证金以后，基金保留的现金或投资于到期日在一年以内的政府债券的比例合计不低于基金资产净值的5%，本基金所指的现金不包括结算备付金、存出保证金、应收申购款等。本基金主要投资于国企创新主题的上市公司股票及存托凭证，投资于国企创新主题的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个股精选策略。其中，资产配置策略用于确定大类资产配置比例以有效规避系统性风险；个股精选策略用于挖掘具有持续创新增长动力的国企创新主题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本基金的投资策略还包括：债券投资策略、股指期货投资策略、权证投资策略、资产支持证券投资策略、融资投资策略、股票期权投资策略。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中证国有企业综合指数*80%+中债综合指数*20%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080825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48235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具体如下：股指期货投资风险、股票期权投资风险、融资交易风险、科创板股票投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