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汇添富成长领航混合型证券投资基金C类份额更新基金产品资料概要(2024年06月07日更新)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汇添富成长领航混合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018442</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汇添富成长领航混合C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018443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招商银行股份有限公司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2023年08月22日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左剑</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2023年08月22日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2002年11月11日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本基金为偏股混合型基金。</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本基金以基本面分析为立足点，在科学严格管理风险的前提下，力争实现基金资产的中长期稳健增值。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主板、创业板及其他经中国证监会允许上市的股票、存托凭证）、港股通标的股票、债券（包括国债、央行票据、金融债券、企业债券、公司债券、中期票据、短期融资券、超短期融资券、次级债券、政府支持债券、政府支持机构债券、地方政府债券、可交换债券、可转换债券（含分离交易可转债）及其他经中国证监会允许投资的债券）、股指期货、国债期货、股票期权、资产支持证券、债券回购、同业存单、银行存款（包含协议存款、定期存款及其他银行存款）、货币市场工具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本基金还可根据法律法规参与融资业务。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股票资产占基金资产的比例不低于60%，其中，投资于港股通标的股票的比例不超过股票资产的50%。每个交易日日终在扣除国债期货、股指期货和股票期权合约需缴纳的交易保证金后，本基金保留的现金或投资于到期日在一年以内的政府债券的比例合计不低于基金资产净值的5%。其中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投资策略主要包括资产配置策略和股票投资策略。其中，资产配置策略用于确定大类资产配置比例以有效规避或分散系统性风险；股票投资策略主要用于精选股票市场中行业背景良好、商业模式清晰、公司治理优良、竞争优势突出且估值相对合理的上市公司。本基金的投资策略主要包括资产配置策略、股票投资策略、债券投资策略、可转债及可交换债投资策略、资产支持证券投资策略、股指期货投资策略、国债期货投资策略、股票期权投资策略、融资投资策略等。</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中证800指数收益率*70%+恒生指数收益率(使用估值汇率折算)*10%+中债综合指数收益率*20%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0.6%</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期货等交易费用；基金的银行汇划费用；基金的账户开户费用、账户维护费用；因投资港股通标的股票而产生的各项合理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2.04%</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税负增加风险、操作或技术风险、合规性风险、本基金法律文件风险收益特征表述与销售机构基金风险评价可能不一致的风险、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1、港股通标的股票投资风险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2、国债期货投资风险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3、股指期货投资风险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4、股票期权投资风险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5、资产支持证券投资风险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6、参与融资交易风险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7、流通受限证券投资风险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8、存托凭证投资风险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9、科创板股票投资风险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10、北京证券交易所股票投资风险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11、启用侧袋机制的风险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