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汇添富产业升级混合型证券投资基金A类份额更新基金产品资料概要(2024年06月07日更新)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汇添富产业升级混合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013365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汇添富产业升级混合A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013365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赵鹏程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2011年08月04日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本基金以基本面分析为立足点，在科学严格管理风险的前提下，重点投资于产业升级主题中具有核心竞争优势的上市公司，力争实现基金资产的中长期稳健增值。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产业升级主题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投资策略主要包括资产配置策略和股票投资策略。其中，资产配置策略用于确定大类资产配置比例以有效规避系统性风险；股票投资策略主要用于精选产业升级主题证券。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670586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1516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对于通过本公司直销中心申购本基金A类基金份额的特定投资群体申购费率为每笔500元；对于未通过本公司直销中心申购本基金A类基金份额的特定投资群体，申购费率参照非特定投资群体适用的申购费率执行。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启用侧袋机制的风险、税负增加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基金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