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汇添富淳享一年定期开放债券型发起式证券投资基金A类份额更新基金产品资料概要(2024年06月07日更新)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汇添富淳享一年定开债券发起式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014486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汇添富淳享一年定开债券发起式A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014486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兴业银行股份有限公司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定期开放式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一年定期开放</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（1）基金合同生效满三年之日（指自然日），若基金资产净值低于2亿元人民币的，本基金合同自动终止，且不得通过召开基金份额持有人大会延续基金合同期限。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（2）《基金合同》生效三年后继续存续的，连续50个工作日出现基金份额持有人数量不满200人或者基金资产净值低于5000万元情形的，基金管理人应终止基金合同。</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在科学严格管理风险的前提下，本基金力争创造超越业绩比较基准的投资回报。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国债、金融债、政府支持债券、政府支持机构债券、地方政府债、企业债、公司债、央行票据、中期票据、短期融资券、超短期融资券、次级债、可转换债券、可交换公司债券、可分离交易债券及其他经中国证监会允许投资的债券）、资产支持证券、债券回购、同业存单、货币市场工具、银行存款（包含协议存款、定期存款及其他银行存款）、国债期货以及法律法规或中国证监会允许基金投资的其它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本基金不投资股票，因持有可转换债券和可交换公司债券转股或换股所得的股票，应当在其可上市交易后10个交易日内卖出。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在每个开放期的前一个月和后一个月以及开放期期间不受前述投资组合比例的限制。开放期内每个交易日日终，在扣除国债期货合约需缴纳的交易保证金后，本基金持有的现金或到期日在一年以内的政府债券不低于基金资产净值的5%；封闭期内持有现金或者到期日在一年以内的政府债券占基金资产净值的比例不受上述限制，但每个交易日日终在扣除国债期货合约需缴纳的交易保证金后，应当保持不低于交易保证金一倍的现金，本基金所指的现金不包括结算备付金、存出保证金、应收申购款等，法律法规另有规定的从其规定。本基金投资于可转换债券、可交换债券的比例不超过基金资产的20%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封闭期投资策略包括类属资产配置策略、利率策略、信用策略、期限结构配置策略、个券选择策略、可转换债券和可交换公司债券投资策略、资产支持证券投资策略、国债期货投资策略。开放期内，为满足投资者申赎需求，本基金将保持较高的组合流动性，在遵守本基金有关投资限制与投资比例的前提下，通过合理配置组合期限结构等方式，积极防范流动性风险，在满足组合流动性需求的同时，尽量减小基金净值的波动。</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中债综合财富（总值）指数收益率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本基金为债券型基金，预期收益和预期风险高于货币市场基金，低于混合型基金、股票型基金。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9952644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94979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账户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定风险、基金面临的流动性风险及管理方法、本基金法律文件风险收益特征表述与销售机构基金风险评价可能不一致的风险、操作或技术风险、合规性风险、其他风险，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w:t>
        <w:tab/>
        <w:t>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w:t>
        <w:tab/>
        <w:t>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w:t>
        <w:tab/>
        <w:t>作为发起式基金存在的风险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w:t>
        <w:tab/>
        <w:t>投资国债期货的风险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w:t>
        <w:tab/>
        <w:t>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w:t>
        <w:tab/>
        <w:t>启用侧袋机制的风险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7、</w:t>
        <w:tab/>
        <w:t>本基金特定机构投资者的风险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