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汇添富创新活力混合型证券投资基金A类份额更新基金产品资料概要(2024年06月07日更新)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汇添富创新活力混合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002419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汇添富创新活力混合A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002419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沈若雨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2011年11月14日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夏正安</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2024年04月30日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汇添富创新活力混合型证券投资基金由汇添富盈安灵活配置混合型证券投资基金于2022年7月13日转型而来。</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在严格控制风险和保持资产流动性的基础上，以基本面分析为立足点精选优质上市公司股票，力争实现基金资产的中长期稳健增值。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等）、资产支持证券、债券回购、同业存单、银行存款（包括协议存款、定期存款及其他银行存款）、货币市场工具、股指期货、国债期货、股票期权以及法律法规或中国证监会允许基金投资的其他金融工具（但须符合中国证监会相关规定）。本基金还可根据法律法规参与融资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60%（其中投资于港股通标的股票的比例不超过股票资产的50%）；本基金每个交易日日终在扣除国债期货、股指期货和股票期权合约需缴纳的交易保证金后，应当保持不低于基金资产净值5%的现金或者到期日在一年以内的政府债券，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本基金投资策略包括：资产配置策略、股票投资策略、债券投资策略、资产支持证券投资策略、可转债及可交换债投资策略、股指期货投资策略、融资投资策略、股票期权投资策略、国债期货投资策略。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沪深300指数收益率*60%+恒生指数收益率（使用估值汇率折算）*20%+中债综合指数收益率*20%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6598435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0139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通过本公司直销中心申购本基金A类基金份额的特定投资群体申购费用为每笔500元。未通过本公司直销中心申购本基金A类基金份额的特定投资群体，申购费率参照其他投资者适用的A类基金份额申购费率执行。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证券/期货等交易费用、银行汇划费用、基金的开户费用、账户维护费用、因投资港股通标的股票而产生的各项合理费用，包括证券组合费、交易征费、股份交收费、交易系统使用费、交易费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1.51%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本基金法律文件风险收益特征表述与销售机构基金风险评价可能不一致的风险、操作或技术风险、合规性风险、其他风险。其中特有风险包括：1、投资股指期货的风险；2、投资股票期权的风险；3、参与融资交易的风险；4、投资国债期货的风险；5、投资港股通标的股票的风险；6、投资科创板股票的风险；7、存托凭证投资风险；8、资产支持证券投资风险；9、流通受限证券投资风险；10、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本基金由汇添富盈安灵活配置混合型证券投资基金变更而来，汇添富盈安灵活配置混合型证券投资基金由汇添富盈安保本混合型证券投资基金变更而来。本基金基金合同于2022年7月13日正式生效。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中国证监会对汇添富盈安灵活配置混合型证券投资基金转型为本基金的注册，并不表明其对本基金的价值和收益作出实质性判断或保证，也不表明投资于本基金没有风险。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