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汇添富多元收益债券型证券投资基金C类份额更新基金产品资料概要(2024年06月07日更新)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汇添富多元收益债券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470010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汇添富多元收益债券C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470011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2012年09月18日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刘通</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2020年06月10日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温宇峰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2023年12月04日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1994年02月01日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本基金主要投资于债券类固定收益品种，在承担合理风险和保持资产流动性的基础上，适度参与权益类资产投资，力争实现资产的长期稳定增值。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于具有良好流动性的金融工具，包括国内依法发行上市的股票(包括中小板、创业板及其他经中国证监会核准上市的股票)、存托凭证、债券、货币市场工具、权证、资产支持证券以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具有良好流动性的固定收益类金融工具，包括国债、金融债、央行票据、公司债、企业债、可转换债券、可分离债券、短期融资券、中期票据、资产支持证券、债券回购、银行存款(包括定期存款及协议存款)，以及法律法规或中国证监会允许投资的其他固定收益类品种。</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一级市场新股申购、持有可转债转股所得的股票、因所持股票所派发的权证以及因投资可分离债券而产生的权证，也可直接从二级市场上买入股票和权证。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固定收益类资产的比例不低于基金资产的80%，权益类资产(包括股票、存托凭证、权证，以及法律法规或中国证监会允许投资的其他权益类品种)的投资比例合计不超过基金资产的20%，其中基金持有的全部权证的市值不超过基金资产净值的3%，持有的现金或到期日在1年以内的政府债券不低于基金资产净值的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将密切关注股票、债券市场的运行状况与风险收益特征，分析宏观经济运行状况和金融市场运行趋势，判断不同资产类别在经济周期的不同阶段的相对投资价值，以动态调整大类资产配置比例。在此基础上，本基金将自上而下决定类属资产配置及组合久期，并依据内部信用评级系统，综合考察信用债券的信用评级，以及流动性情况、收益率水平等，自下而上地精选个券；同时，本基金还将通过精选出具有持续竞争优势且估值有吸引力的股票，在严格控制基金资产运作风险的基础上，把握股票市场投资机会，力争实现组合的稳健增值。本基金的投资策略主要包括：大类资产配置策略、类属资产配置策略、债券投资策略、股票投资策略、权证投资策略。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中债综合指数*90%+沪深300指数*10%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本基金为债券型基金，其预期风险和预期收益低于股票型基金和混合型基金，高于货币市场基金。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57929257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3073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0.7%</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因基金的证券交易或结算而产生的费用、基金份额持有人大会费用、基金合同生效以后的律师费、基金资产的资金汇划费用等费用。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1.35%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本基金的风险包括：市场风险、管理风险、流动性风险、特有风险、操作或技术风险、合规性风险、其它风险。其中特有风险具体如下：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本基金投资于固定收益类资产的比例不低于基金资产的80%，因此可能面临因固定收益类资产市场的系统性风险和个券风险。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本基金将不超过20%的基金资产投资于权益类金融工具，通过参与新股申购、投资二级市场权益类资产，以增强收益。因此，本基金将可能面临因参与新股申购，在新股流通受限期间无法上市交易所带来的流动性风险；因少量投资可转债或二级市场权益类资产而承担一定程度的市场整体或个别证券价格下跌的风险。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