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汇添富创新医药主题混合型证券投资基金更新基金产品资料概要(2024年06月07日更新)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汇添富创新医药混合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006113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2018年08月08日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郑磊</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2018年08月08日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本基金采用自下而上的投资方法，以基本面分析为立足点，在科学严格管理风险的前提下，重点投资于创新医药主题相关的优质上市公司，谋求基金资产的中长期稳健增值。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港股通标的股票、债券（包括国债、央行票据、金融债券、企业债券、公司债券、中期票据、短期融资券、超短期融资券、次级债券、政府机构债券、地方政府债券、可交换债券、中小企业私募债券、可转换债券（含分离交易可转债）及其他经中国证监会允许投资的债券或票据）、资产支持证券、债券回购、银行存款、货币市场工具、权证、股指期货、股票期权、国债期货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基金的投资组合比例为：股票资产及存托凭证投资占基金资产的比例为 60%-95%（其中投资于港股通标的股票的比例不超过股票资产的 50%）；基金持有全部权证的市值不得超过基金资产净值的 3%；每个交易日日终在扣除股指期货、国债期货和股票期权合约需缴纳的交易保证金以后，基金保留的现金或投资于到期日在一年以内的政府债券的比例合计不低于基金资产净值的 5%，本基金所指的现金类资产范围不包括结算备付金、存出保证金、应收申购款等资金类别，法律法规另有规定的从其规定。本基金投资于创新医药主题上市公司股票资产及存托凭证投资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用于挖掘优质的创新医药主题上市公司。本基金的投资策略还包括：债券投资策略、中小企业私募债券投资策略、资产支持证券投资策略、股指期货投资策略、股票期权投资策略、权证投资策略、融资投资策略、国债期货投资策略、存托凭证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中证医药卫生指数收益率*50%+中债综合指数收益率*30%+恒生医疗保健指数收益率(使用估值汇率折算)*20%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本基金为混合型基金，其预期收益及风险水平低于股票型基金，高于债券型基金及货币市场基金。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411079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7399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交易费用、基金的银行汇划费用/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税负增加风险、操作或技术风险、合规性风险、其他风险。其中特有风险包括中小企业私募债券投资风险、股指期货投资风险、股票期权投资风险、国债期货投资风险、参与融资交易风险、港股通标的股票投资风险、资产支持证券投资风险、流通受限证券投资风险、科创板股票投资风险、存托凭证投资风险、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