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汇添富策略增长灵活配置混合型证券投资基金更新基金产品资料概要(2024年06月07日更新)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汇添富策略增长灵活配置混合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009715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李灵毓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2024年02月01日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本基金将灵活运用多种投资策略，在科学严格管理风险的前提下，谋求基金资产的中长期稳健增值。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包括国内依法发行上市的股票(含主板，中小板，创业板及其他经中国证监会核准或注册上市的股票)，存托凭证，港股通标的股票，债券(包括国债，央行票据，金融债券，企业债券，公司债券，中期票据，短期融资券，超短期融资券，公开发行的次级债券，政府机构债券，地方政府债券，可转换债券(含分离交易可转债的纯债部分))，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资产及存托凭证投资的比例则为0-95%，其中投资于港股通标的股票占股票资产的比例不超过50%。本基金投资于同业存单的比例合计不超过基金资产的20%。每个交易日日终，在扣除股指期货，国债期货和股票期权合约需缴纳的交易保证金后，本基金持有的现金或到期日在一年以内的政府债券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本基金的投资策略主要包括资产配置策略、股票精选策略、债券投资策略、资产支持证券投资策略、股指期货投资策略、融资投资策略、股票期权投资策略、国债期货投资策略。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中证800指数收益率*60%+恒生指数收益率（使用估值汇率折算）*10%+中债综合指数收益率*30%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7464507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3648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通过本公司直销中心申购本基金基金份额的特定投资群体申购费率为每笔500元。未通过本公司直销中心申购本基金基金份额的特定投资群体，申购费率参照非特定投资群体适用的申购费率执行。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税负增加风险、操作或技术风险、合规性风险、本基金法律文件风险收益特征表述与销售机构基金风险评价可能不一致的风险及其它风险。其中特有风险包括：1、股指期货投资风险；2、股票期权投资风险；3、国债期货投资风险；4、参与融资交易风险；5、投资港股通标的股票的风险；6、资产支持证券投资风险；7、流通受限证券投资风险；8、存托凭证投资风险；9、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汇添富策略增长两年封闭运作灵活配置混合型证券投资基金封闭期自2020年7月24日起至2022年7月24日止，自2022年7月25日起转为开放式运作，基金名称变更为“汇添富策略增长灵活配置混合型证券投资基金”。</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中国证监会对汇添富策略增长两年封闭运作灵活配置混合型证券投资基金募集的注册，并不表明其对本基金的价值和收益作出实质性判断或保证，也不表明投资于本基金没有风险。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本基金的争议解决处理方式为仲裁。具体仲裁机构和仲裁地点详见基金合同的具体约定。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