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汇添富成长领航混合型证券投资基金A类份额更新基金产品资料概要(2024年06月07日更新)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汇添富成长领航混合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018442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汇添富成长领航混合A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018442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左剑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2002年11月11日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股指期货、国债期货、股票期权、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每个交易日日终在扣除国债期货、股指期货和股票期权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股票投资策略。其中，资产配置策略用于确定大类资产配置比例以有效规避或分散系统性风险；股票投资策略主要用于精选股票市场中行业背景良好、商业模式清晰、公司治理优良、竞争优势突出且估值相对合理的上市公司。本基金的投资策略主要包括资产配置策略、股票投资策略、债券投资策略、可转债及可交换债投资策略、资产支持证券投资策略、股指期货投资策略、国债期货投资策略、股票期权投资策略、融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中证800指数收益率*70%+恒生指数收益率(使用估值汇率折算)*10%+中债综合指数收益率*20%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1个月≤N&lt;6个月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通过本公司直销中心申购本基金A类基金份额的特定投资群体申购费用为每笔500元。未通过本公司直销中心申购本基金A类基金份额的特定投资群体，申购费率参照非特定投资群体适用的A类基金份额申购费率执行。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注：本基金已成立，投资本基金不涉及认购费。1个月按30天计算</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账户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1、港股通标的股票投资风险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3、股指期货投资风险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4、股票期权投资风险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5、资产支持证券投资风险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6、参与融资交易风险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7、流通受限证券投资风险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8、存托凭证投资风险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9、科创板股票投资风险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10、北京证券交易所股票投资风险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11、启用侧袋机制的风险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