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汇添富创新活力混合型证券投资基金D类份额更新基金产品资料概要(2024年06月07日更新)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汇添富创新活力混合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002419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汇添富创新活力混合D</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014837</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中国建设银行股份有限公司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2022年07月13日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沈若雨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2022年07月13日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2011年11月14日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夏正安</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2024年04月30日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2015年07月20日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汇添富创新活力混合型证券投资基金由汇添富盈安灵活配置混合型证券投资基金于2022年7月13日转型而来。</w:t>
            </w:r>
          </w:p>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本基金为偏股混合型基金。</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在严格控制风险和保持资产流动性的基础上，以基本面分析为立足点精选优质上市公司股票，力争实现基金资产的中长期稳健增值。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创业板及其他经中国证监会核准或注册上市的股票、存托凭证）、港股通标的股票、债券（包括国债、央行票据、金融债券、企业债券、公司债券、中期票据、短期融资券、超短期融资券、次级债券、政府机构债券、地方政府债券、可交换债券、可转换债券（含分离交易可转债）等）、资产支持证券、债券回购、同业存单、银行存款（包括协议存款、定期存款及其他银行存款）、货币市场工具、股指期货、国债期货、股票期权以及法律法规或中国证监会允许基金投资的其他金融工具（但须符合中国证监会相关规定）。本基金还可根据法律法规参与融资业务。</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股票资产占基金资产的比例不低于60%（其中投资于港股通标的股票的比例不超过股票资产的50%）；本基金每个交易日日终在扣除国债期货、股指期货和股票期权合约需缴纳的交易保证金后，应当保持不低于基金资产净值5%的现金或者到期日在一年以内的政府债券，本基金所指的现金不包括结算备付金、存出保证金、应收申购款等。</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本基金投资策略包括：资产配置策略、股票投资策略、债券投资策略、资产支持证券投资策略、可转债及可交换债投资策略、股指期货投资策略、融资投资策略、股票期权投资策略、国债期货投资策略。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沪深300指数收益率*60%+恒生指数收益率（使用估值汇率折算）*20%+中债综合指数收益率*20%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4983362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981182"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本基金D类基金份额不收取申购费。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45000.00元/年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仲裁费/诉讼费、基金份额持有人大会费用、证券/期货等交易费用、银行汇划费用、基金的开户费用、账户维护费用、因投资港股通标的股票而产生的各项合理费用，包括证券组合费、交易征费、股份交收费、交易系统使用费、交易费等</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1.71%</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管理风险、流动性风险、特有风险、本基金法律文件风险收益特征表述与销售机构基金风险评价可能不一致的风险、操作或技术风险、合规性风险、其他风险。其中特有风险包括：1、投资股指期货的风险；2、投资股票期权的风险；3、参与融资交易的风险；4、投资国债期货的风险；5、投资港股通标的股票的风险；6、投资科创板股票的风险；7、存托凭证投资风险；8、资产支持证券投资风险；9、流通受限证券投资风险；10、启用侧袋机制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本基金由汇添富盈安灵活配置混合型证券投资基金变更而来，汇添富盈安灵活配置混合型证券投资基金由汇添富盈安保本混合型证券投资基金变更而来。本基金基金合同于2022年7月13日正式生效。</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中国证监会对汇添富盈安灵活配置混合型证券投资基金转型为本基金的注册，并不表明其对本基金的价值和收益作出实质性判断或保证，也不表明投资于本基金没有风险。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本基金的争议解决处理方式为仲裁。具体仲裁机构和仲裁地点详见基金合同的具体约定。 </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