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汇添富创新活力混合型证券投资基金C类份额更新基金产品资料概要(2024年06月07日更新)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002419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014836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沈若雨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2011年11月14日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夏正安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2024年04月30日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汇添富创新活力混合型证券投资基金由汇添富盈安灵活配置混合型证券投资基金于2022年7月13日转型而来。</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在严格控制风险和保持资产流动性的基础上，以基本面分析为立足点精选优质上市公司股票，力争实现基金资产的中长期稳健增值。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等）、资产支持证券、债券回购、同业存单、银行存款（包括协议存款、定期存款及其他银行存款）、货币市场工具、股指期货、国债期货、股票期权以及法律法规或中国证监会允许基金投资的其他金融工具（但须符合中国证监会相关规定）。本基金还可根据法律法规参与融资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本基金每个交易日日终在扣除国债期货、股指期货和股票期权合约需缴纳的交易保证金后，应当保持不低于基金资产净值5%的现金或者到期日在一年以内的政府债券，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本基金投资策略包括：资产配置策略、股票投资策略、债券投资策略、资产支持证券投资策略、可转债及可交换债投资策略、股指期货投资策略、融资投资策略、股票期权投资策略、国债期货投资策略。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56795016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85946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等交易费用、银行汇划费用、基金的开户费用、账户维护费用、因投资港股通标的股票而产生的各项合理费用，包括证券组合费、交易征费、股份交收费、交易系统使用费、交易费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2.31%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本基金法律文件风险收益特征表述与销售机构基金风险评价可能不一致的风险、操作或技术风险、合规性风险、其他风险。其中特有风险包括：1、投资股指期货的风险；2、投资股票期权的风险；3、参与融资交易的风险；4、投资国债期货的风险；5、投资港股通标的股票的风险；6、投资科创板股票的风险；7、存托凭证投资风险；8、资产支持证券投资风险；9、流通受限证券投资风险；10、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本基金由汇添富盈安灵活配置混合型证券投资基金变更而来，汇添富盈安灵活配置混合型证券投资基金由汇添富盈安保本混合型证券投资基金变更而来。本基金基金合同于2022年7月13日正式生效。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中国证监会对汇添富盈安灵活配置混合型证券投资基金转型为本基金的注册，并不表明其对本基金的价值和收益作出实质性判断或保证，也不表明投资于本基金没有风险。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