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汇添富产业升级混合型证券投资基金C类份额更新基金产品资料概要(2024年06月07日更新)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汇添富产业升级混合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013365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汇添富产业升级混合C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013366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赵鹏程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2011年08月04日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本基金以基本面分析为立足点，在科学严格管理风险的前提下，重点投资于产业升级主题中具有核心竞争优势的上市公司，力争实现基金资产的中长期稳健增值。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创业板及其他经中国证监会核准或注册上市的股票、存托凭证）、港股通标的股票、债券（包括国债、央行票据、金融债券、企业债券、公司债券、中期票据、短期融资券、超短期融资券、次级债券、政府机构债券、地方政府债券、可交换债券、可转换债券（含分离交易可转债））、资产支持证券、债券回购、同业存单、银行存款（包含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本基金投资于产业升级主题证券的比例不低于非现金基金资产的80%。</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投资策略主要包括资产配置策略和股票投资策略。其中，资产配置策略用于确定大类资产配置比例以有效规避系统性风险；股票投资策略主要用于精选产业升级主题证券。本基金的投资策略还包括：债券投资策略、资产支持证券投资策略、可转债及可交换债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沪深300指数收益率*60%+恒生指数收益率(使用估值汇率折算)*20%+中债综合指数收益率*20%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73886745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33750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因投资港股通标的股票而产生的各项合理费用（包括证券组合费、交易征费、股份交收费、交易系统使用费、交易费等），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2.05%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启用侧袋机制的风险、税负增加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股指期货投资风险；（2）股票期权投资风险；（3）国债期货投资风险；（4）参与融资交易风险；（5）基金投资港股通标的股票的风险；（6）资产支持证券投资风险；（7）流通受限证券投资风险；（8）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