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FE" w:rsidRPr="00C333D1" w:rsidRDefault="00CF4FFE" w:rsidP="00385C2E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C333D1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易方达</w:t>
      </w:r>
      <w:r w:rsidR="00897E6B" w:rsidRPr="00C333D1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标普</w:t>
      </w:r>
      <w:r w:rsidR="00897E6B" w:rsidRPr="00C333D1"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t>500</w:t>
      </w:r>
      <w:r w:rsidR="005436A4" w:rsidRPr="00C333D1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指数证券投资基金</w:t>
      </w:r>
      <w:r w:rsidR="00F33A5A" w:rsidRPr="00C333D1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（</w:t>
      </w:r>
      <w:r w:rsidR="00F33A5A" w:rsidRPr="00C333D1"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t>LOF）</w:t>
      </w:r>
      <w:r w:rsidR="00B21E6F" w:rsidRPr="00C333D1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恢复</w:t>
      </w:r>
      <w:r w:rsidR="009D7637" w:rsidRPr="00C333D1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大额</w:t>
      </w:r>
      <w:r w:rsidRPr="00C333D1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申购业务的公告</w:t>
      </w:r>
    </w:p>
    <w:p w:rsidR="00CF4FFE" w:rsidRPr="00C333D1" w:rsidRDefault="00CF4FFE" w:rsidP="00CF4FFE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C333D1">
        <w:rPr>
          <w:rFonts w:asciiTheme="minorEastAsia" w:eastAsiaTheme="minorEastAsia" w:hAnsiTheme="minorEastAsia" w:hint="eastAsia"/>
          <w:b/>
          <w:sz w:val="24"/>
        </w:rPr>
        <w:t>公告</w:t>
      </w:r>
      <w:r w:rsidRPr="00C333D1">
        <w:rPr>
          <w:rFonts w:asciiTheme="minorEastAsia" w:eastAsiaTheme="minorEastAsia" w:hAnsiTheme="minorEastAsia"/>
          <w:b/>
          <w:sz w:val="24"/>
        </w:rPr>
        <w:t>送出日期：</w:t>
      </w:r>
      <w:r w:rsidR="00682E0D" w:rsidRPr="00C333D1">
        <w:rPr>
          <w:rFonts w:asciiTheme="minorEastAsia" w:eastAsiaTheme="minorEastAsia" w:hAnsiTheme="minorEastAsia"/>
          <w:b/>
          <w:sz w:val="24"/>
        </w:rPr>
        <w:t>20</w:t>
      </w:r>
      <w:r w:rsidR="009210BA" w:rsidRPr="00C333D1">
        <w:rPr>
          <w:rFonts w:asciiTheme="minorEastAsia" w:eastAsiaTheme="minorEastAsia" w:hAnsiTheme="minorEastAsia"/>
          <w:b/>
          <w:sz w:val="24"/>
        </w:rPr>
        <w:t>2</w:t>
      </w:r>
      <w:r w:rsidR="00A32F00" w:rsidRPr="00C333D1">
        <w:rPr>
          <w:rFonts w:asciiTheme="minorEastAsia" w:eastAsiaTheme="minorEastAsia" w:hAnsiTheme="minorEastAsia"/>
          <w:b/>
          <w:sz w:val="24"/>
        </w:rPr>
        <w:t>1</w:t>
      </w:r>
      <w:r w:rsidR="00682E0D" w:rsidRPr="00C333D1">
        <w:rPr>
          <w:rFonts w:asciiTheme="minorEastAsia" w:eastAsiaTheme="minorEastAsia" w:hAnsiTheme="minorEastAsia"/>
          <w:b/>
          <w:sz w:val="24"/>
        </w:rPr>
        <w:t>年</w:t>
      </w:r>
      <w:r w:rsidR="00F13FF7">
        <w:rPr>
          <w:rFonts w:asciiTheme="minorEastAsia" w:eastAsiaTheme="minorEastAsia" w:hAnsiTheme="minorEastAsia"/>
          <w:b/>
          <w:sz w:val="24"/>
        </w:rPr>
        <w:t>9</w:t>
      </w:r>
      <w:r w:rsidR="00630946" w:rsidRPr="00C333D1">
        <w:rPr>
          <w:rFonts w:asciiTheme="minorEastAsia" w:eastAsiaTheme="minorEastAsia" w:hAnsiTheme="minorEastAsia" w:hint="eastAsia"/>
          <w:b/>
          <w:sz w:val="24"/>
        </w:rPr>
        <w:t>月</w:t>
      </w:r>
      <w:r w:rsidR="007F724F">
        <w:rPr>
          <w:rFonts w:asciiTheme="minorEastAsia" w:eastAsiaTheme="minorEastAsia" w:hAnsiTheme="minorEastAsia" w:hint="eastAsia"/>
          <w:b/>
          <w:sz w:val="24"/>
        </w:rPr>
        <w:t>8</w:t>
      </w:r>
      <w:r w:rsidR="00816122" w:rsidRPr="00C333D1">
        <w:rPr>
          <w:rFonts w:asciiTheme="minorEastAsia" w:eastAsiaTheme="minorEastAsia" w:hAnsiTheme="minorEastAsia"/>
          <w:b/>
          <w:sz w:val="24"/>
        </w:rPr>
        <w:t>日</w:t>
      </w:r>
    </w:p>
    <w:bookmarkEnd w:id="0"/>
    <w:p w:rsidR="00CF4FFE" w:rsidRPr="00C333D1" w:rsidRDefault="00CF4FFE" w:rsidP="00CF4FFE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r w:rsidRPr="00C333D1">
        <w:rPr>
          <w:rFonts w:asciiTheme="minorEastAsia" w:eastAsiaTheme="minorEastAsia" w:hAnsiTheme="minorEastAsia" w:hint="eastAsia"/>
          <w:bCs w:val="0"/>
          <w:sz w:val="24"/>
          <w:szCs w:val="24"/>
        </w:rPr>
        <w:t>1.公告基本信息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4"/>
        <w:gridCol w:w="2983"/>
        <w:gridCol w:w="3045"/>
      </w:tblGrid>
      <w:tr w:rsidR="006B70AD" w:rsidRPr="00C333D1" w:rsidTr="008F0148">
        <w:trPr>
          <w:trHeight w:val="310"/>
        </w:trPr>
        <w:tc>
          <w:tcPr>
            <w:tcW w:w="1365" w:type="pct"/>
            <w:shd w:val="clear" w:color="auto" w:fill="auto"/>
            <w:vAlign w:val="center"/>
            <w:hideMark/>
          </w:tcPr>
          <w:p w:rsidR="006B70AD" w:rsidRPr="00C333D1" w:rsidRDefault="006B70AD" w:rsidP="00385C2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3635" w:type="pct"/>
            <w:gridSpan w:val="2"/>
            <w:shd w:val="clear" w:color="auto" w:fill="auto"/>
            <w:vAlign w:val="center"/>
            <w:hideMark/>
          </w:tcPr>
          <w:p w:rsidR="006B70AD" w:rsidRPr="00C333D1" w:rsidRDefault="006B70AD" w:rsidP="00385C2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易方达标普</w:t>
            </w: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500</w:t>
            </w: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指数证券投资基金（</w:t>
            </w: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B70AD" w:rsidRPr="00C333D1" w:rsidTr="008F0148">
        <w:trPr>
          <w:trHeight w:val="310"/>
        </w:trPr>
        <w:tc>
          <w:tcPr>
            <w:tcW w:w="1365" w:type="pct"/>
            <w:shd w:val="clear" w:color="auto" w:fill="auto"/>
            <w:vAlign w:val="center"/>
            <w:hideMark/>
          </w:tcPr>
          <w:p w:rsidR="006B70AD" w:rsidRPr="00C333D1" w:rsidRDefault="006B70AD" w:rsidP="00385C2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3635" w:type="pct"/>
            <w:gridSpan w:val="2"/>
            <w:shd w:val="clear" w:color="auto" w:fill="auto"/>
            <w:vAlign w:val="center"/>
            <w:hideMark/>
          </w:tcPr>
          <w:p w:rsidR="006B70AD" w:rsidRPr="00C333D1" w:rsidRDefault="006B70AD" w:rsidP="00385C2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易方达标普</w:t>
            </w: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500</w:t>
            </w: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指数（</w:t>
            </w: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QDII-LOF</w:t>
            </w: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B70AD" w:rsidRPr="00C333D1" w:rsidTr="008F0148">
        <w:trPr>
          <w:trHeight w:val="320"/>
        </w:trPr>
        <w:tc>
          <w:tcPr>
            <w:tcW w:w="1365" w:type="pct"/>
            <w:shd w:val="clear" w:color="auto" w:fill="auto"/>
            <w:vAlign w:val="center"/>
            <w:hideMark/>
          </w:tcPr>
          <w:p w:rsidR="006B70AD" w:rsidRPr="00C333D1" w:rsidRDefault="006B70AD" w:rsidP="00385C2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3635" w:type="pct"/>
            <w:gridSpan w:val="2"/>
            <w:shd w:val="clear" w:color="auto" w:fill="auto"/>
            <w:vAlign w:val="center"/>
            <w:hideMark/>
          </w:tcPr>
          <w:p w:rsidR="006B70AD" w:rsidRPr="00C333D1" w:rsidRDefault="006B70AD" w:rsidP="00385C2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161125</w:t>
            </w:r>
          </w:p>
        </w:tc>
      </w:tr>
      <w:tr w:rsidR="006B70AD" w:rsidRPr="00C333D1" w:rsidTr="008F0148">
        <w:trPr>
          <w:trHeight w:val="310"/>
        </w:trPr>
        <w:tc>
          <w:tcPr>
            <w:tcW w:w="1365" w:type="pct"/>
            <w:shd w:val="clear" w:color="auto" w:fill="auto"/>
            <w:vAlign w:val="center"/>
            <w:hideMark/>
          </w:tcPr>
          <w:p w:rsidR="006B70AD" w:rsidRPr="00C333D1" w:rsidRDefault="006B70AD" w:rsidP="00385C2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3635" w:type="pct"/>
            <w:gridSpan w:val="2"/>
            <w:shd w:val="clear" w:color="auto" w:fill="auto"/>
            <w:vAlign w:val="center"/>
            <w:hideMark/>
          </w:tcPr>
          <w:p w:rsidR="006B70AD" w:rsidRPr="00C333D1" w:rsidRDefault="006B70AD" w:rsidP="00385C2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="006B70AD" w:rsidRPr="00C333D1" w:rsidTr="008F0148">
        <w:trPr>
          <w:trHeight w:val="1070"/>
        </w:trPr>
        <w:tc>
          <w:tcPr>
            <w:tcW w:w="1365" w:type="pct"/>
            <w:shd w:val="clear" w:color="auto" w:fill="auto"/>
            <w:vAlign w:val="center"/>
            <w:hideMark/>
          </w:tcPr>
          <w:p w:rsidR="006B70AD" w:rsidRPr="00C333D1" w:rsidRDefault="006B70AD" w:rsidP="00385C2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3635" w:type="pct"/>
            <w:gridSpan w:val="2"/>
            <w:shd w:val="clear" w:color="auto" w:fill="auto"/>
            <w:vAlign w:val="center"/>
            <w:hideMark/>
          </w:tcPr>
          <w:p w:rsidR="006B70AD" w:rsidRPr="00C333D1" w:rsidRDefault="00A32F00" w:rsidP="00A32F0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《公开募集证券投资基金信息披露管理办法》、</w:t>
            </w:r>
            <w:r w:rsidR="006B70AD"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《易方达标普</w:t>
            </w:r>
            <w:r w:rsidR="006B70AD"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500</w:t>
            </w:r>
            <w:r w:rsidR="006B70AD"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指数证券投资基金（</w:t>
            </w:r>
            <w:r w:rsidR="006B70AD"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6B70AD"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）基金合同》、《易方达标普</w:t>
            </w:r>
            <w:r w:rsidR="006B70AD"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500</w:t>
            </w:r>
            <w:r w:rsidR="006B70AD"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指数证券投资基金（</w:t>
            </w:r>
            <w:r w:rsidR="006B70AD"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6B70AD" w:rsidRPr="00C333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）更新的招募说明书》</w:t>
            </w:r>
          </w:p>
        </w:tc>
      </w:tr>
      <w:tr w:rsidR="00B21E6F" w:rsidRPr="00C333D1" w:rsidTr="008F0148">
        <w:trPr>
          <w:trHeight w:val="320"/>
        </w:trPr>
        <w:tc>
          <w:tcPr>
            <w:tcW w:w="1365" w:type="pct"/>
            <w:vMerge w:val="restart"/>
            <w:shd w:val="clear" w:color="auto" w:fill="auto"/>
            <w:vAlign w:val="center"/>
            <w:hideMark/>
          </w:tcPr>
          <w:p w:rsidR="00B21E6F" w:rsidRPr="00C333D1" w:rsidRDefault="00B21E6F" w:rsidP="00B21E6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B21E6F" w:rsidRPr="00C333D1" w:rsidRDefault="00B21E6F" w:rsidP="00B21E6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恢复大额申购日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B21E6F" w:rsidRPr="00C333D1" w:rsidRDefault="00B21E6F" w:rsidP="00B21E6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2021年</w:t>
            </w:r>
            <w:r w:rsidR="00F13FF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9</w:t>
            </w: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月</w:t>
            </w:r>
            <w:r w:rsidR="007F724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8</w:t>
            </w: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日</w:t>
            </w:r>
          </w:p>
        </w:tc>
      </w:tr>
      <w:tr w:rsidR="00B21E6F" w:rsidRPr="00C333D1" w:rsidTr="00F30750">
        <w:trPr>
          <w:trHeight w:val="343"/>
        </w:trPr>
        <w:tc>
          <w:tcPr>
            <w:tcW w:w="1365" w:type="pct"/>
            <w:vMerge/>
            <w:vAlign w:val="center"/>
            <w:hideMark/>
          </w:tcPr>
          <w:p w:rsidR="00B21E6F" w:rsidRPr="00C333D1" w:rsidRDefault="00B21E6F" w:rsidP="00B21E6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B21E6F" w:rsidRPr="00C333D1" w:rsidRDefault="00B21E6F" w:rsidP="00B21E6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恢复大额申购的原因说明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:rsidR="00B21E6F" w:rsidRPr="00C333D1" w:rsidRDefault="00B21E6F" w:rsidP="00B21E6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33D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为了满足投资者的需求</w:t>
            </w:r>
          </w:p>
        </w:tc>
      </w:tr>
      <w:tr w:rsidR="008F65A0" w:rsidRPr="00C333D1" w:rsidTr="00F30750">
        <w:trPr>
          <w:trHeight w:val="343"/>
        </w:trPr>
        <w:tc>
          <w:tcPr>
            <w:tcW w:w="1365" w:type="pct"/>
            <w:vAlign w:val="center"/>
          </w:tcPr>
          <w:p w:rsidR="008F65A0" w:rsidRPr="00C333D1" w:rsidRDefault="008F65A0" w:rsidP="008F65A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8F65A0" w:rsidRPr="00C333D1" w:rsidRDefault="008F65A0" w:rsidP="008F65A0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易方达标普500指数（QDII-LOF）A</w:t>
            </w:r>
          </w:p>
        </w:tc>
        <w:tc>
          <w:tcPr>
            <w:tcW w:w="1836" w:type="pct"/>
            <w:shd w:val="clear" w:color="auto" w:fill="auto"/>
            <w:vAlign w:val="center"/>
          </w:tcPr>
          <w:p w:rsidR="008F65A0" w:rsidRPr="00C333D1" w:rsidRDefault="008F65A0" w:rsidP="008F65A0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易方达标普500指数（QDII-LOF）C</w:t>
            </w:r>
          </w:p>
        </w:tc>
      </w:tr>
      <w:tr w:rsidR="008F65A0" w:rsidRPr="00C333D1" w:rsidTr="00F30750">
        <w:trPr>
          <w:trHeight w:val="343"/>
        </w:trPr>
        <w:tc>
          <w:tcPr>
            <w:tcW w:w="1365" w:type="pct"/>
            <w:vAlign w:val="center"/>
          </w:tcPr>
          <w:p w:rsidR="008F65A0" w:rsidRPr="00BF15A2" w:rsidRDefault="008F65A0" w:rsidP="008F65A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8F65A0" w:rsidRPr="00BF15A2" w:rsidRDefault="008F65A0" w:rsidP="008F65A0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161125</w:t>
            </w:r>
          </w:p>
        </w:tc>
        <w:tc>
          <w:tcPr>
            <w:tcW w:w="1836" w:type="pct"/>
            <w:shd w:val="clear" w:color="auto" w:fill="auto"/>
            <w:vAlign w:val="center"/>
          </w:tcPr>
          <w:p w:rsidR="008F65A0" w:rsidRPr="00BF15A2" w:rsidRDefault="008F65A0" w:rsidP="008F65A0">
            <w:pPr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012860</w:t>
            </w:r>
          </w:p>
        </w:tc>
      </w:tr>
      <w:tr w:rsidR="008F65A0" w:rsidRPr="00C333D1" w:rsidTr="008F65A0">
        <w:trPr>
          <w:trHeight w:val="343"/>
        </w:trPr>
        <w:tc>
          <w:tcPr>
            <w:tcW w:w="1365" w:type="pct"/>
          </w:tcPr>
          <w:p w:rsidR="008F65A0" w:rsidRPr="00BF15A2" w:rsidRDefault="008F65A0" w:rsidP="008F65A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该分级基金是否恢复大额申购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8F65A0" w:rsidRPr="00BF15A2" w:rsidRDefault="008F65A0" w:rsidP="008F65A0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836" w:type="pct"/>
            <w:shd w:val="clear" w:color="auto" w:fill="auto"/>
            <w:vAlign w:val="center"/>
          </w:tcPr>
          <w:p w:rsidR="008F65A0" w:rsidRPr="00BF15A2" w:rsidRDefault="008F65A0" w:rsidP="008F65A0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40358A" w:rsidRPr="00C333D1" w:rsidRDefault="00482C8F" w:rsidP="00482C8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333D1">
        <w:rPr>
          <w:rFonts w:asciiTheme="minorEastAsia" w:eastAsiaTheme="minorEastAsia" w:hAnsiTheme="minorEastAsia" w:hint="eastAsia"/>
          <w:sz w:val="24"/>
        </w:rPr>
        <w:t>注</w:t>
      </w:r>
      <w:r w:rsidRPr="00C333D1">
        <w:rPr>
          <w:rFonts w:asciiTheme="minorEastAsia" w:eastAsiaTheme="minorEastAsia" w:hAnsiTheme="minorEastAsia"/>
          <w:sz w:val="24"/>
        </w:rPr>
        <w:t>：</w:t>
      </w:r>
      <w:r w:rsidR="00C333D1">
        <w:rPr>
          <w:rFonts w:asciiTheme="minorEastAsia" w:eastAsiaTheme="minorEastAsia" w:hAnsiTheme="minorEastAsia"/>
          <w:sz w:val="24"/>
        </w:rPr>
        <w:t>（</w:t>
      </w:r>
      <w:r w:rsidR="00775AA0" w:rsidRPr="00C333D1">
        <w:rPr>
          <w:rFonts w:asciiTheme="minorEastAsia" w:eastAsiaTheme="minorEastAsia" w:hAnsiTheme="minorEastAsia"/>
          <w:color w:val="000000"/>
          <w:sz w:val="24"/>
        </w:rPr>
        <w:t>1</w:t>
      </w:r>
      <w:r w:rsidR="00C333D1">
        <w:rPr>
          <w:rFonts w:asciiTheme="minorEastAsia" w:eastAsiaTheme="minorEastAsia" w:hAnsiTheme="minorEastAsia"/>
          <w:color w:val="000000"/>
          <w:sz w:val="24"/>
        </w:rPr>
        <w:t>）</w:t>
      </w:r>
      <w:r w:rsidR="008F65A0" w:rsidRPr="004932BD">
        <w:rPr>
          <w:rFonts w:asciiTheme="minorEastAsia" w:eastAsiaTheme="minorEastAsia" w:hAnsiTheme="minorEastAsia" w:hint="eastAsia"/>
          <w:color w:val="000000"/>
          <w:sz w:val="24"/>
        </w:rPr>
        <w:t>易方达标普500指数证券投资基金（LOF）（以下简称“本基金”）A类人民币份额场内简称为标普500LOF。</w:t>
      </w:r>
    </w:p>
    <w:p w:rsidR="00775AA0" w:rsidRPr="00C333D1" w:rsidRDefault="00C333D1" w:rsidP="00B21E6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color w:val="000000"/>
          <w:sz w:val="24"/>
        </w:rPr>
        <w:t>（</w:t>
      </w:r>
      <w:r w:rsidR="00775AA0" w:rsidRPr="00C333D1">
        <w:rPr>
          <w:rFonts w:asciiTheme="minorEastAsia" w:eastAsiaTheme="minorEastAsia" w:hAnsiTheme="minorEastAsia"/>
          <w:color w:val="000000"/>
          <w:sz w:val="24"/>
        </w:rPr>
        <w:t>2</w:t>
      </w:r>
      <w:r>
        <w:rPr>
          <w:rFonts w:asciiTheme="minorEastAsia" w:eastAsiaTheme="minorEastAsia" w:hAnsiTheme="minorEastAsia"/>
          <w:color w:val="000000"/>
          <w:sz w:val="24"/>
        </w:rPr>
        <w:t>）</w:t>
      </w:r>
      <w:r w:rsidR="00F13FF7">
        <w:rPr>
          <w:rFonts w:asciiTheme="minorEastAsia" w:eastAsiaTheme="minorEastAsia" w:hAnsiTheme="minorEastAsia" w:hint="eastAsia"/>
          <w:color w:val="000000"/>
          <w:kern w:val="0"/>
          <w:sz w:val="24"/>
        </w:rPr>
        <w:t>根据法律法规和基金合同的相关规定，</w:t>
      </w:r>
      <w:r w:rsidR="00F13FF7">
        <w:rPr>
          <w:rFonts w:asciiTheme="minorEastAsia" w:eastAsiaTheme="minorEastAsia" w:hAnsiTheme="minorEastAsia" w:hint="eastAsia"/>
          <w:kern w:val="0"/>
          <w:sz w:val="24"/>
        </w:rPr>
        <w:t>易方达基金管理有限公司决定</w:t>
      </w:r>
      <w:r w:rsidR="00F13FF7">
        <w:rPr>
          <w:rFonts w:asciiTheme="minorEastAsia" w:eastAsiaTheme="minorEastAsia" w:hAnsiTheme="minorEastAsia" w:hint="eastAsia"/>
          <w:color w:val="000000"/>
          <w:kern w:val="0"/>
          <w:sz w:val="24"/>
        </w:rPr>
        <w:t>自2021年9月</w:t>
      </w:r>
      <w:r w:rsidR="007F724F">
        <w:rPr>
          <w:rFonts w:asciiTheme="minorEastAsia" w:eastAsiaTheme="minorEastAsia" w:hAnsiTheme="minorEastAsia" w:hint="eastAsia"/>
          <w:color w:val="000000"/>
          <w:kern w:val="0"/>
          <w:sz w:val="24"/>
        </w:rPr>
        <w:t>8</w:t>
      </w:r>
      <w:r w:rsidR="00F13FF7">
        <w:rPr>
          <w:rFonts w:asciiTheme="minorEastAsia" w:eastAsiaTheme="minorEastAsia" w:hAnsiTheme="minorEastAsia" w:hint="eastAsia"/>
          <w:color w:val="000000"/>
          <w:kern w:val="0"/>
          <w:sz w:val="24"/>
        </w:rPr>
        <w:t>日起恢复本基金的大额申购业务，取消“单日单个基金账户累计申购（含定期定额投资）本基金A类人民币份额或C类人民币份额的金额不超过500元”及“单日单个基金账户累计申购（含定期定额投资）本基金A类美元份额或C类美元份额的金额不超过100美元”的限制。</w:t>
      </w:r>
    </w:p>
    <w:p w:rsidR="00482C8F" w:rsidRPr="00C333D1" w:rsidRDefault="00482C8F" w:rsidP="00482C8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9C602C" w:rsidRPr="00C333D1" w:rsidRDefault="00CF4FFE" w:rsidP="00AE67E3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</w:rPr>
      </w:pPr>
      <w:r w:rsidRPr="00C333D1">
        <w:rPr>
          <w:rFonts w:asciiTheme="minorEastAsia" w:eastAsiaTheme="minorEastAsia" w:hAnsiTheme="minorEastAsia" w:hint="eastAsia"/>
          <w:color w:val="000000"/>
          <w:sz w:val="24"/>
          <w:szCs w:val="24"/>
        </w:rPr>
        <w:t>2.其他需要提示的事项</w:t>
      </w:r>
    </w:p>
    <w:p w:rsidR="00654E92" w:rsidRPr="00C333D1" w:rsidRDefault="00654E92" w:rsidP="00654E92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C333D1">
        <w:rPr>
          <w:rFonts w:asciiTheme="minorEastAsia" w:eastAsiaTheme="minorEastAsia" w:hAnsiTheme="minorEastAsia" w:hint="eastAsia"/>
          <w:color w:val="000000"/>
          <w:sz w:val="24"/>
        </w:rPr>
        <w:t>（1</w:t>
      </w:r>
      <w:r w:rsidRPr="00C333D1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B21E6F" w:rsidRPr="00C333D1">
        <w:rPr>
          <w:rFonts w:asciiTheme="minorEastAsia" w:eastAsiaTheme="minorEastAsia" w:hAnsiTheme="minorEastAsia"/>
          <w:color w:val="000000"/>
          <w:sz w:val="24"/>
        </w:rPr>
        <w:t>本次</w:t>
      </w:r>
      <w:r w:rsidR="00B21E6F" w:rsidRPr="00C333D1">
        <w:rPr>
          <w:rFonts w:asciiTheme="minorEastAsia" w:eastAsiaTheme="minorEastAsia" w:hAnsiTheme="minorEastAsia" w:hint="eastAsia"/>
          <w:color w:val="000000"/>
          <w:sz w:val="24"/>
        </w:rPr>
        <w:t>恢复</w:t>
      </w:r>
      <w:r w:rsidR="00B21E6F" w:rsidRPr="00C333D1">
        <w:rPr>
          <w:rFonts w:asciiTheme="minorEastAsia" w:eastAsiaTheme="minorEastAsia" w:hAnsiTheme="minorEastAsia"/>
          <w:color w:val="000000"/>
          <w:sz w:val="24"/>
        </w:rPr>
        <w:t>相关业务针对本基金所有基金份额类别（</w:t>
      </w:r>
      <w:r w:rsidR="00F13FF7" w:rsidRPr="004932BD">
        <w:rPr>
          <w:rFonts w:asciiTheme="minorEastAsia" w:eastAsiaTheme="minorEastAsia" w:hAnsiTheme="minorEastAsia" w:hint="eastAsia"/>
          <w:color w:val="000000"/>
          <w:sz w:val="24"/>
        </w:rPr>
        <w:t>A类人民币份额基金代码为161125，A类美元份额基金代码为003718，C类人民币份额基金代码为012860，C类美元份额基金代码为012861</w:t>
      </w:r>
      <w:r w:rsidR="00B21E6F" w:rsidRPr="00C333D1">
        <w:rPr>
          <w:rFonts w:asciiTheme="minorEastAsia" w:eastAsiaTheme="minorEastAsia" w:hAnsiTheme="minorEastAsia"/>
          <w:color w:val="000000"/>
          <w:sz w:val="24"/>
        </w:rPr>
        <w:t>）；</w:t>
      </w:r>
    </w:p>
    <w:p w:rsidR="00CF4FFE" w:rsidRPr="00C333D1" w:rsidRDefault="00654E92" w:rsidP="00775AA0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C333D1">
        <w:rPr>
          <w:rFonts w:asciiTheme="minorEastAsia" w:eastAsiaTheme="minorEastAsia" w:hAnsiTheme="minorEastAsia" w:hint="eastAsia"/>
          <w:color w:val="000000"/>
          <w:sz w:val="24"/>
        </w:rPr>
        <w:t>（2）</w:t>
      </w:r>
      <w:r w:rsidR="00CF4FFE" w:rsidRPr="00C333D1">
        <w:rPr>
          <w:rFonts w:asciiTheme="minorEastAsia" w:eastAsiaTheme="minorEastAsia" w:hAnsiTheme="minorEastAsia" w:hint="eastAsia"/>
          <w:color w:val="000000"/>
          <w:sz w:val="24"/>
        </w:rPr>
        <w:t>投资者可通过本基金各销售机构及以下途径咨询有关详情：</w:t>
      </w:r>
    </w:p>
    <w:p w:rsidR="00CF4FFE" w:rsidRPr="00C333D1" w:rsidRDefault="00CF4FFE" w:rsidP="00CF4FF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C333D1">
        <w:rPr>
          <w:rFonts w:asciiTheme="minorEastAsia" w:eastAsiaTheme="minorEastAsia" w:hAnsiTheme="minorEastAsia"/>
          <w:color w:val="000000"/>
          <w:sz w:val="24"/>
        </w:rPr>
        <w:t xml:space="preserve">   1) </w:t>
      </w:r>
      <w:r w:rsidRPr="00C333D1">
        <w:rPr>
          <w:rFonts w:asciiTheme="minorEastAsia" w:eastAsiaTheme="minorEastAsia" w:hAnsiTheme="minorEastAsia" w:hint="eastAsia"/>
          <w:color w:val="000000"/>
          <w:sz w:val="24"/>
        </w:rPr>
        <w:t>易方达基金管理有限公司网站：</w:t>
      </w:r>
      <w:r w:rsidRPr="00C333D1">
        <w:rPr>
          <w:rFonts w:asciiTheme="minorEastAsia" w:eastAsiaTheme="minorEastAsia" w:hAnsiTheme="minorEastAsia"/>
          <w:color w:val="000000"/>
          <w:sz w:val="24"/>
        </w:rPr>
        <w:t>www.efunds.com.cn</w:t>
      </w:r>
      <w:r w:rsidRPr="00C333D1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CF4FFE" w:rsidRPr="00C333D1" w:rsidRDefault="00CF4FFE" w:rsidP="00CF4FF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C333D1">
        <w:rPr>
          <w:rFonts w:asciiTheme="minorEastAsia" w:eastAsiaTheme="minorEastAsia" w:hAnsiTheme="minorEastAsia"/>
          <w:color w:val="000000"/>
          <w:sz w:val="24"/>
        </w:rPr>
        <w:lastRenderedPageBreak/>
        <w:t xml:space="preserve">　 2) </w:t>
      </w:r>
      <w:r w:rsidRPr="00C333D1">
        <w:rPr>
          <w:rFonts w:asciiTheme="minorEastAsia" w:eastAsiaTheme="minorEastAsia" w:hAnsiTheme="minorEastAsia" w:hint="eastAsia"/>
          <w:color w:val="000000"/>
          <w:sz w:val="24"/>
        </w:rPr>
        <w:t>易方达基金管理有限公司客户服务热线：</w:t>
      </w:r>
      <w:r w:rsidRPr="00C333D1">
        <w:rPr>
          <w:rFonts w:asciiTheme="minorEastAsia" w:eastAsiaTheme="minorEastAsia" w:hAnsiTheme="minorEastAsia"/>
          <w:color w:val="000000"/>
          <w:sz w:val="24"/>
        </w:rPr>
        <w:t>400 881 8088</w:t>
      </w:r>
      <w:r w:rsidRPr="00C333D1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CF4FFE" w:rsidRPr="00C333D1" w:rsidRDefault="00CF4FFE" w:rsidP="00CF4FF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C333D1">
        <w:rPr>
          <w:rFonts w:asciiTheme="minorEastAsia" w:eastAsiaTheme="minorEastAsia" w:hAnsiTheme="minorEastAsia" w:hint="eastAsia"/>
          <w:color w:val="000000"/>
          <w:sz w:val="24"/>
        </w:rPr>
        <w:t>特此公告。</w:t>
      </w:r>
    </w:p>
    <w:p w:rsidR="00C40D1F" w:rsidRPr="00C333D1" w:rsidRDefault="00C40D1F" w:rsidP="00CF4FF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CF4FFE" w:rsidRPr="00C333D1" w:rsidRDefault="00CF4FFE" w:rsidP="00CF4FFE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C333D1">
        <w:rPr>
          <w:rFonts w:asciiTheme="minorEastAsia" w:eastAsiaTheme="minorEastAsia" w:hAnsiTheme="minorEastAsia" w:hint="eastAsia"/>
          <w:color w:val="000000"/>
          <w:sz w:val="24"/>
        </w:rPr>
        <w:t>易方达基金管理有限公司</w:t>
      </w:r>
    </w:p>
    <w:p w:rsidR="00E255CB" w:rsidRPr="00BB28D9" w:rsidRDefault="009210BA" w:rsidP="00BB28D9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C333D1">
        <w:rPr>
          <w:rFonts w:asciiTheme="minorEastAsia" w:eastAsiaTheme="minorEastAsia" w:hAnsiTheme="minorEastAsia" w:hint="eastAsia"/>
          <w:sz w:val="24"/>
        </w:rPr>
        <w:t>202</w:t>
      </w:r>
      <w:r w:rsidR="00D5659D" w:rsidRPr="00C333D1">
        <w:rPr>
          <w:rFonts w:asciiTheme="minorEastAsia" w:eastAsiaTheme="minorEastAsia" w:hAnsiTheme="minorEastAsia" w:hint="eastAsia"/>
          <w:sz w:val="24"/>
        </w:rPr>
        <w:t>1</w:t>
      </w:r>
      <w:r w:rsidRPr="00C333D1">
        <w:rPr>
          <w:rFonts w:asciiTheme="minorEastAsia" w:eastAsiaTheme="minorEastAsia" w:hAnsiTheme="minorEastAsia" w:hint="eastAsia"/>
          <w:sz w:val="24"/>
        </w:rPr>
        <w:t>年</w:t>
      </w:r>
      <w:r w:rsidR="00F13FF7">
        <w:rPr>
          <w:rFonts w:asciiTheme="minorEastAsia" w:eastAsiaTheme="minorEastAsia" w:hAnsiTheme="minorEastAsia" w:hint="eastAsia"/>
          <w:sz w:val="24"/>
        </w:rPr>
        <w:t>9</w:t>
      </w:r>
      <w:r w:rsidRPr="00C333D1">
        <w:rPr>
          <w:rFonts w:asciiTheme="minorEastAsia" w:eastAsiaTheme="minorEastAsia" w:hAnsiTheme="minorEastAsia" w:hint="eastAsia"/>
          <w:sz w:val="24"/>
        </w:rPr>
        <w:t>月</w:t>
      </w:r>
      <w:r w:rsidR="007F724F">
        <w:rPr>
          <w:rFonts w:asciiTheme="minorEastAsia" w:eastAsiaTheme="minorEastAsia" w:hAnsiTheme="minorEastAsia" w:hint="eastAsia"/>
          <w:sz w:val="24"/>
        </w:rPr>
        <w:t>8</w:t>
      </w:r>
      <w:r w:rsidRPr="00C333D1">
        <w:rPr>
          <w:rFonts w:asciiTheme="minorEastAsia" w:eastAsiaTheme="minorEastAsia" w:hAnsiTheme="minorEastAsia" w:hint="eastAsia"/>
          <w:sz w:val="24"/>
        </w:rPr>
        <w:t>日</w:t>
      </w:r>
    </w:p>
    <w:sectPr w:rsidR="00E255CB" w:rsidRPr="00BB28D9" w:rsidSect="00B120A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37" w:rsidRDefault="00B10C37" w:rsidP="00CF4FFE">
      <w:r>
        <w:separator/>
      </w:r>
    </w:p>
  </w:endnote>
  <w:endnote w:type="continuationSeparator" w:id="0">
    <w:p w:rsidR="00B10C37" w:rsidRDefault="00B10C37" w:rsidP="00CF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Default="00454543" w:rsidP="00B120A5">
    <w:pPr>
      <w:pStyle w:val="a4"/>
      <w:jc w:val="center"/>
    </w:pPr>
    <w:r>
      <w:rPr>
        <w:rStyle w:val="a5"/>
      </w:rPr>
      <w:fldChar w:fldCharType="begin"/>
    </w:r>
    <w:r w:rsidR="00B120A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D7426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37" w:rsidRDefault="00B10C37" w:rsidP="00CF4FFE">
      <w:r>
        <w:separator/>
      </w:r>
    </w:p>
  </w:footnote>
  <w:footnote w:type="continuationSeparator" w:id="0">
    <w:p w:rsidR="00B10C37" w:rsidRDefault="00B10C37" w:rsidP="00CF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Pr="004649DF" w:rsidRDefault="00B120A5" w:rsidP="00B120A5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="00B120A5" w:rsidRPr="004649DF" w:rsidRDefault="00B120A5" w:rsidP="00B120A5">
    <w:pPr>
      <w:pStyle w:val="a3"/>
    </w:pPr>
    <w:r>
      <w:rPr>
        <w:rFonts w:hint="eastAsia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16C7C"/>
    <w:rsid w:val="00033F5C"/>
    <w:rsid w:val="000854F8"/>
    <w:rsid w:val="0009577E"/>
    <w:rsid w:val="000E198C"/>
    <w:rsid w:val="000E5C48"/>
    <w:rsid w:val="00131E3C"/>
    <w:rsid w:val="00154712"/>
    <w:rsid w:val="001A4658"/>
    <w:rsid w:val="001E76D8"/>
    <w:rsid w:val="00223281"/>
    <w:rsid w:val="0024190B"/>
    <w:rsid w:val="00247318"/>
    <w:rsid w:val="00267A21"/>
    <w:rsid w:val="00271D28"/>
    <w:rsid w:val="00281AB9"/>
    <w:rsid w:val="002C77E6"/>
    <w:rsid w:val="002E116A"/>
    <w:rsid w:val="002E5498"/>
    <w:rsid w:val="0030297E"/>
    <w:rsid w:val="00314E8A"/>
    <w:rsid w:val="00317605"/>
    <w:rsid w:val="00327721"/>
    <w:rsid w:val="00342EF4"/>
    <w:rsid w:val="003621E5"/>
    <w:rsid w:val="00365F6C"/>
    <w:rsid w:val="00375E9D"/>
    <w:rsid w:val="00385C2E"/>
    <w:rsid w:val="003874EB"/>
    <w:rsid w:val="003C09A6"/>
    <w:rsid w:val="003D31E2"/>
    <w:rsid w:val="003E6882"/>
    <w:rsid w:val="003F48DC"/>
    <w:rsid w:val="003F58E2"/>
    <w:rsid w:val="0040358A"/>
    <w:rsid w:val="0040521B"/>
    <w:rsid w:val="0041080C"/>
    <w:rsid w:val="00446361"/>
    <w:rsid w:val="004474E8"/>
    <w:rsid w:val="00454543"/>
    <w:rsid w:val="00461120"/>
    <w:rsid w:val="00462F5C"/>
    <w:rsid w:val="00482C8F"/>
    <w:rsid w:val="004A58BE"/>
    <w:rsid w:val="004D3A06"/>
    <w:rsid w:val="00500E3F"/>
    <w:rsid w:val="005219CC"/>
    <w:rsid w:val="005237B9"/>
    <w:rsid w:val="00534171"/>
    <w:rsid w:val="00537BBD"/>
    <w:rsid w:val="005436A4"/>
    <w:rsid w:val="00575AC3"/>
    <w:rsid w:val="005B2E55"/>
    <w:rsid w:val="005B7445"/>
    <w:rsid w:val="005D07C5"/>
    <w:rsid w:val="00601E83"/>
    <w:rsid w:val="00630946"/>
    <w:rsid w:val="006400A1"/>
    <w:rsid w:val="00654E92"/>
    <w:rsid w:val="00680ADC"/>
    <w:rsid w:val="00682E0D"/>
    <w:rsid w:val="006A6CC5"/>
    <w:rsid w:val="006B70AD"/>
    <w:rsid w:val="00725EA7"/>
    <w:rsid w:val="00736C4F"/>
    <w:rsid w:val="00775AA0"/>
    <w:rsid w:val="00777B6D"/>
    <w:rsid w:val="00795150"/>
    <w:rsid w:val="007F724F"/>
    <w:rsid w:val="0080502A"/>
    <w:rsid w:val="00816122"/>
    <w:rsid w:val="0085351C"/>
    <w:rsid w:val="0087080A"/>
    <w:rsid w:val="00891450"/>
    <w:rsid w:val="00897E6B"/>
    <w:rsid w:val="008A7C7E"/>
    <w:rsid w:val="008F0148"/>
    <w:rsid w:val="008F65A0"/>
    <w:rsid w:val="00907EB6"/>
    <w:rsid w:val="0091559C"/>
    <w:rsid w:val="009210BA"/>
    <w:rsid w:val="00946AE6"/>
    <w:rsid w:val="00960462"/>
    <w:rsid w:val="009976DA"/>
    <w:rsid w:val="009C602C"/>
    <w:rsid w:val="009D3ABE"/>
    <w:rsid w:val="009D7637"/>
    <w:rsid w:val="00A11330"/>
    <w:rsid w:val="00A30BC8"/>
    <w:rsid w:val="00A32F00"/>
    <w:rsid w:val="00A46AE2"/>
    <w:rsid w:val="00A713F4"/>
    <w:rsid w:val="00A832E6"/>
    <w:rsid w:val="00AA5841"/>
    <w:rsid w:val="00AD7426"/>
    <w:rsid w:val="00AE4DF6"/>
    <w:rsid w:val="00AE67E3"/>
    <w:rsid w:val="00B00529"/>
    <w:rsid w:val="00B0053C"/>
    <w:rsid w:val="00B012D0"/>
    <w:rsid w:val="00B10C37"/>
    <w:rsid w:val="00B120A5"/>
    <w:rsid w:val="00B21E6F"/>
    <w:rsid w:val="00B97C2E"/>
    <w:rsid w:val="00BB28D9"/>
    <w:rsid w:val="00BF2522"/>
    <w:rsid w:val="00C071C4"/>
    <w:rsid w:val="00C16346"/>
    <w:rsid w:val="00C333D1"/>
    <w:rsid w:val="00C40D1F"/>
    <w:rsid w:val="00C468FC"/>
    <w:rsid w:val="00C47464"/>
    <w:rsid w:val="00C831B4"/>
    <w:rsid w:val="00CD4719"/>
    <w:rsid w:val="00CF4FFE"/>
    <w:rsid w:val="00D137D6"/>
    <w:rsid w:val="00D54AED"/>
    <w:rsid w:val="00D55FB2"/>
    <w:rsid w:val="00D5659D"/>
    <w:rsid w:val="00D70921"/>
    <w:rsid w:val="00D9378A"/>
    <w:rsid w:val="00D95A49"/>
    <w:rsid w:val="00DD3D9F"/>
    <w:rsid w:val="00DE0469"/>
    <w:rsid w:val="00E106BF"/>
    <w:rsid w:val="00E162E7"/>
    <w:rsid w:val="00E255CB"/>
    <w:rsid w:val="00E8612A"/>
    <w:rsid w:val="00E95923"/>
    <w:rsid w:val="00F13FF7"/>
    <w:rsid w:val="00F27688"/>
    <w:rsid w:val="00F27C84"/>
    <w:rsid w:val="00F33A5A"/>
    <w:rsid w:val="00F44F36"/>
    <w:rsid w:val="00F56804"/>
    <w:rsid w:val="00F66CB8"/>
    <w:rsid w:val="00F70383"/>
    <w:rsid w:val="00F9781D"/>
    <w:rsid w:val="00FA7551"/>
    <w:rsid w:val="00FB37AD"/>
    <w:rsid w:val="00FD179B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B6BE87CD-63D3-427A-BE03-96D7EDCF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FE"/>
    <w:rPr>
      <w:sz w:val="18"/>
      <w:szCs w:val="18"/>
    </w:rPr>
  </w:style>
  <w:style w:type="paragraph" w:styleId="a4">
    <w:name w:val="footer"/>
    <w:basedOn w:val="a"/>
    <w:link w:val="Char0"/>
    <w:unhideWhenUsed/>
    <w:rsid w:val="00CF4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FE"/>
    <w:rPr>
      <w:sz w:val="18"/>
      <w:szCs w:val="18"/>
    </w:rPr>
  </w:style>
  <w:style w:type="character" w:customStyle="1" w:styleId="3Char">
    <w:name w:val="标题 3 Char"/>
    <w:basedOn w:val="a0"/>
    <w:link w:val="3"/>
    <w:rsid w:val="00CF4FFE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CF4FFE"/>
  </w:style>
  <w:style w:type="paragraph" w:styleId="a6">
    <w:name w:val="Balloon Text"/>
    <w:basedOn w:val="a"/>
    <w:link w:val="Char1"/>
    <w:uiPriority w:val="99"/>
    <w:semiHidden/>
    <w:unhideWhenUsed/>
    <w:rsid w:val="00482C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2C8F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E8612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E8612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8235-4812-4135-91B9-A2E99C88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E FUND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白玥明</dc:creator>
  <cp:keywords/>
  <dc:description/>
  <cp:lastModifiedBy>涂博谦</cp:lastModifiedBy>
  <cp:revision>3</cp:revision>
  <cp:lastPrinted>2017-06-28T00:51:00Z</cp:lastPrinted>
  <dcterms:created xsi:type="dcterms:W3CDTF">2021-09-07T08:40:00Z</dcterms:created>
  <dcterms:modified xsi:type="dcterms:W3CDTF">2021-09-07T08:48:00Z</dcterms:modified>
</cp:coreProperties>
</file>