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CDB" w:rsidRPr="00286323" w:rsidRDefault="001A7CDB" w:rsidP="00F71D3B">
      <w:pPr>
        <w:snapToGrid w:val="0"/>
        <w:spacing w:line="360" w:lineRule="auto"/>
        <w:ind w:firstLine="881"/>
        <w:jc w:val="center"/>
        <w:rPr>
          <w:rFonts w:asciiTheme="minorEastAsia" w:eastAsiaTheme="minorEastAsia" w:hAnsiTheme="minorEastAsia" w:cs="Arial"/>
          <w:b/>
          <w:color w:val="000000" w:themeColor="text1"/>
          <w:sz w:val="44"/>
        </w:rPr>
      </w:pPr>
    </w:p>
    <w:p w:rsidR="001A7CDB" w:rsidRPr="00286323" w:rsidRDefault="001A7CDB" w:rsidP="00F71D3B">
      <w:pPr>
        <w:snapToGrid w:val="0"/>
        <w:spacing w:line="360" w:lineRule="auto"/>
        <w:ind w:firstLine="881"/>
        <w:jc w:val="center"/>
        <w:rPr>
          <w:rFonts w:asciiTheme="minorEastAsia" w:eastAsiaTheme="minorEastAsia" w:hAnsiTheme="minorEastAsia" w:cs="Arial"/>
          <w:b/>
          <w:color w:val="000000" w:themeColor="text1"/>
          <w:sz w:val="44"/>
        </w:rPr>
      </w:pPr>
    </w:p>
    <w:p w:rsidR="001A7CDB" w:rsidRPr="00286323" w:rsidRDefault="001A7CDB" w:rsidP="00F71D3B">
      <w:pPr>
        <w:snapToGrid w:val="0"/>
        <w:spacing w:line="360" w:lineRule="auto"/>
        <w:ind w:firstLine="881"/>
        <w:jc w:val="center"/>
        <w:rPr>
          <w:rFonts w:asciiTheme="minorEastAsia" w:eastAsiaTheme="minorEastAsia" w:hAnsiTheme="minorEastAsia" w:cs="Arial"/>
          <w:b/>
          <w:color w:val="000000" w:themeColor="text1"/>
          <w:sz w:val="44"/>
        </w:rPr>
      </w:pPr>
    </w:p>
    <w:p w:rsidR="001A7CDB" w:rsidRPr="00286323" w:rsidRDefault="001A7CDB" w:rsidP="00F71D3B">
      <w:pPr>
        <w:snapToGrid w:val="0"/>
        <w:spacing w:line="360" w:lineRule="auto"/>
        <w:ind w:firstLine="881"/>
        <w:jc w:val="center"/>
        <w:rPr>
          <w:rFonts w:asciiTheme="minorEastAsia" w:eastAsiaTheme="minorEastAsia" w:hAnsiTheme="minorEastAsia" w:cs="Arial"/>
          <w:b/>
          <w:color w:val="000000" w:themeColor="text1"/>
          <w:sz w:val="44"/>
        </w:rPr>
      </w:pPr>
    </w:p>
    <w:p w:rsidR="001A7CDB" w:rsidRPr="00286323" w:rsidRDefault="00A80737" w:rsidP="00F71D3B">
      <w:pPr>
        <w:snapToGrid w:val="0"/>
        <w:spacing w:line="360" w:lineRule="auto"/>
        <w:jc w:val="center"/>
        <w:rPr>
          <w:rFonts w:asciiTheme="minorEastAsia" w:eastAsiaTheme="minorEastAsia" w:hAnsiTheme="minorEastAsia" w:cs="Times New Roman"/>
          <w:b/>
          <w:color w:val="000000" w:themeColor="text1"/>
          <w:kern w:val="2"/>
          <w:sz w:val="44"/>
          <w:szCs w:val="24"/>
        </w:rPr>
      </w:pPr>
      <w:r w:rsidRPr="00286323">
        <w:rPr>
          <w:rFonts w:asciiTheme="minorEastAsia" w:eastAsiaTheme="minorEastAsia" w:hAnsiTheme="minorEastAsia" w:cs="Times New Roman" w:hint="eastAsia"/>
          <w:b/>
          <w:color w:val="000000" w:themeColor="text1"/>
          <w:kern w:val="2"/>
          <w:sz w:val="44"/>
          <w:szCs w:val="24"/>
        </w:rPr>
        <w:t>易方达沪深300量化增强证券投资基金</w:t>
      </w:r>
    </w:p>
    <w:p w:rsidR="001A7CDB" w:rsidRPr="00286323" w:rsidRDefault="00A654B6" w:rsidP="00F71D3B">
      <w:pPr>
        <w:snapToGrid w:val="0"/>
        <w:spacing w:line="360" w:lineRule="auto"/>
        <w:jc w:val="center"/>
        <w:rPr>
          <w:rFonts w:asciiTheme="minorEastAsia" w:eastAsiaTheme="minorEastAsia" w:hAnsiTheme="minorEastAsia" w:cs="Times New Roman"/>
          <w:b/>
          <w:color w:val="000000" w:themeColor="text1"/>
          <w:kern w:val="2"/>
          <w:sz w:val="44"/>
          <w:szCs w:val="24"/>
        </w:rPr>
      </w:pPr>
      <w:r w:rsidRPr="00286323">
        <w:rPr>
          <w:rFonts w:asciiTheme="minorEastAsia" w:eastAsiaTheme="minorEastAsia" w:hAnsiTheme="minorEastAsia" w:cs="Times New Roman" w:hint="eastAsia"/>
          <w:b/>
          <w:color w:val="000000" w:themeColor="text1"/>
          <w:kern w:val="2"/>
          <w:sz w:val="44"/>
          <w:szCs w:val="24"/>
        </w:rPr>
        <w:t>更新的</w:t>
      </w:r>
      <w:r w:rsidR="001A7CDB" w:rsidRPr="00286323">
        <w:rPr>
          <w:rFonts w:asciiTheme="minorEastAsia" w:eastAsiaTheme="minorEastAsia" w:hAnsiTheme="minorEastAsia" w:cs="Times New Roman" w:hint="eastAsia"/>
          <w:b/>
          <w:color w:val="000000" w:themeColor="text1"/>
          <w:kern w:val="2"/>
          <w:sz w:val="44"/>
          <w:szCs w:val="24"/>
        </w:rPr>
        <w:t>招募说明书</w:t>
      </w:r>
    </w:p>
    <w:p w:rsidR="001A7CDB" w:rsidRPr="00286323" w:rsidRDefault="001A7CDB" w:rsidP="00F71D3B">
      <w:pPr>
        <w:snapToGrid w:val="0"/>
        <w:spacing w:line="360" w:lineRule="auto"/>
        <w:rPr>
          <w:rFonts w:asciiTheme="minorEastAsia" w:eastAsiaTheme="minorEastAsia" w:hAnsiTheme="minorEastAsia" w:cs="Arial"/>
          <w:color w:val="000000" w:themeColor="text1"/>
          <w:sz w:val="30"/>
          <w:szCs w:val="30"/>
        </w:rPr>
      </w:pPr>
    </w:p>
    <w:p w:rsidR="00F71D3B" w:rsidRPr="00286323" w:rsidRDefault="00F71D3B" w:rsidP="00F71D3B">
      <w:pPr>
        <w:snapToGrid w:val="0"/>
        <w:spacing w:line="360" w:lineRule="auto"/>
        <w:rPr>
          <w:rFonts w:asciiTheme="minorEastAsia" w:eastAsiaTheme="minorEastAsia" w:hAnsiTheme="minorEastAsia" w:cs="Arial"/>
          <w:color w:val="000000" w:themeColor="text1"/>
          <w:sz w:val="30"/>
          <w:szCs w:val="30"/>
        </w:rPr>
      </w:pPr>
    </w:p>
    <w:p w:rsidR="00F71D3B" w:rsidRPr="00286323" w:rsidRDefault="00F71D3B" w:rsidP="00F71D3B">
      <w:pPr>
        <w:snapToGrid w:val="0"/>
        <w:spacing w:line="360" w:lineRule="auto"/>
        <w:rPr>
          <w:rFonts w:asciiTheme="minorEastAsia" w:eastAsiaTheme="minorEastAsia" w:hAnsiTheme="minorEastAsia" w:cs="Arial"/>
          <w:color w:val="000000" w:themeColor="text1"/>
          <w:sz w:val="30"/>
          <w:szCs w:val="30"/>
        </w:rPr>
      </w:pPr>
    </w:p>
    <w:p w:rsidR="001A7CDB" w:rsidRPr="00286323" w:rsidRDefault="001A7CDB" w:rsidP="00F71D3B">
      <w:pPr>
        <w:snapToGrid w:val="0"/>
        <w:spacing w:line="360" w:lineRule="auto"/>
        <w:rPr>
          <w:rFonts w:asciiTheme="minorEastAsia" w:eastAsiaTheme="minorEastAsia" w:hAnsiTheme="minorEastAsia" w:cs="Arial"/>
          <w:color w:val="000000" w:themeColor="text1"/>
          <w:sz w:val="30"/>
          <w:szCs w:val="30"/>
        </w:rPr>
      </w:pPr>
    </w:p>
    <w:p w:rsidR="001A7CDB" w:rsidRPr="00286323" w:rsidRDefault="001A7CDB" w:rsidP="00F71D3B">
      <w:pPr>
        <w:snapToGrid w:val="0"/>
        <w:spacing w:line="360" w:lineRule="auto"/>
        <w:rPr>
          <w:rFonts w:asciiTheme="minorEastAsia" w:eastAsiaTheme="minorEastAsia" w:hAnsiTheme="minorEastAsia" w:cs="Arial"/>
          <w:color w:val="000000" w:themeColor="text1"/>
          <w:sz w:val="30"/>
          <w:szCs w:val="30"/>
        </w:rPr>
      </w:pPr>
    </w:p>
    <w:p w:rsidR="00EB2D68" w:rsidRPr="00286323" w:rsidRDefault="00EB2D68" w:rsidP="00F71D3B">
      <w:pPr>
        <w:snapToGrid w:val="0"/>
        <w:spacing w:line="360" w:lineRule="auto"/>
        <w:rPr>
          <w:rFonts w:asciiTheme="minorEastAsia" w:eastAsiaTheme="minorEastAsia" w:hAnsiTheme="minorEastAsia" w:cs="Arial"/>
          <w:color w:val="000000" w:themeColor="text1"/>
          <w:sz w:val="30"/>
          <w:szCs w:val="30"/>
        </w:rPr>
      </w:pPr>
    </w:p>
    <w:p w:rsidR="001A7CDB" w:rsidRPr="00286323" w:rsidRDefault="001A7CDB" w:rsidP="00F71D3B">
      <w:pPr>
        <w:snapToGrid w:val="0"/>
        <w:spacing w:line="360" w:lineRule="auto"/>
        <w:rPr>
          <w:rFonts w:asciiTheme="minorEastAsia" w:eastAsiaTheme="minorEastAsia" w:hAnsiTheme="minorEastAsia" w:cs="Arial"/>
          <w:color w:val="000000" w:themeColor="text1"/>
          <w:sz w:val="30"/>
          <w:szCs w:val="30"/>
        </w:rPr>
      </w:pPr>
    </w:p>
    <w:p w:rsidR="001A7CDB" w:rsidRPr="00286323" w:rsidRDefault="001A7CDB" w:rsidP="00F71D3B">
      <w:pPr>
        <w:snapToGrid w:val="0"/>
        <w:spacing w:line="360" w:lineRule="auto"/>
        <w:rPr>
          <w:rFonts w:asciiTheme="minorEastAsia" w:eastAsiaTheme="minorEastAsia" w:hAnsiTheme="minorEastAsia" w:cs="Arial"/>
          <w:color w:val="000000" w:themeColor="text1"/>
          <w:sz w:val="30"/>
          <w:szCs w:val="30"/>
        </w:rPr>
      </w:pPr>
    </w:p>
    <w:p w:rsidR="001A7CDB" w:rsidRPr="00286323" w:rsidRDefault="001A7CDB" w:rsidP="00F71D3B">
      <w:pPr>
        <w:snapToGrid w:val="0"/>
        <w:spacing w:line="360" w:lineRule="auto"/>
        <w:jc w:val="center"/>
        <w:rPr>
          <w:rFonts w:asciiTheme="minorEastAsia" w:eastAsiaTheme="minorEastAsia" w:hAnsiTheme="minorEastAsia" w:cs="Arial"/>
          <w:color w:val="000000" w:themeColor="text1"/>
          <w:sz w:val="30"/>
          <w:szCs w:val="30"/>
        </w:rPr>
      </w:pPr>
      <w:r w:rsidRPr="00286323">
        <w:rPr>
          <w:rFonts w:asciiTheme="minorEastAsia" w:eastAsiaTheme="minorEastAsia" w:hAnsiTheme="minorEastAsia" w:cs="Arial"/>
          <w:color w:val="000000" w:themeColor="text1"/>
          <w:sz w:val="30"/>
          <w:szCs w:val="30"/>
        </w:rPr>
        <w:t>基金管理人：易方达基金管理有限公司</w:t>
      </w:r>
    </w:p>
    <w:p w:rsidR="001A7CDB" w:rsidRPr="00286323" w:rsidRDefault="001A7CDB" w:rsidP="00F71D3B">
      <w:pPr>
        <w:snapToGrid w:val="0"/>
        <w:spacing w:line="360" w:lineRule="auto"/>
        <w:jc w:val="center"/>
        <w:rPr>
          <w:rFonts w:asciiTheme="minorEastAsia" w:eastAsiaTheme="minorEastAsia" w:hAnsiTheme="minorEastAsia" w:cs="Arial"/>
          <w:color w:val="000000" w:themeColor="text1"/>
          <w:sz w:val="30"/>
          <w:szCs w:val="30"/>
        </w:rPr>
      </w:pPr>
      <w:r w:rsidRPr="00286323">
        <w:rPr>
          <w:rFonts w:asciiTheme="minorEastAsia" w:eastAsiaTheme="minorEastAsia" w:hAnsiTheme="minorEastAsia" w:cs="Arial"/>
          <w:color w:val="000000" w:themeColor="text1"/>
          <w:sz w:val="30"/>
          <w:szCs w:val="30"/>
        </w:rPr>
        <w:t>基金托管人：中国建设银行股份有限公司</w:t>
      </w:r>
    </w:p>
    <w:p w:rsidR="001A7CDB" w:rsidRPr="00286323" w:rsidRDefault="001A7CDB" w:rsidP="00F71D3B">
      <w:pPr>
        <w:snapToGrid w:val="0"/>
        <w:spacing w:line="360" w:lineRule="auto"/>
        <w:jc w:val="center"/>
        <w:rPr>
          <w:rFonts w:asciiTheme="minorEastAsia" w:eastAsiaTheme="minorEastAsia" w:hAnsiTheme="minorEastAsia" w:cs="Arial"/>
          <w:b/>
          <w:color w:val="000000" w:themeColor="text1"/>
          <w:sz w:val="24"/>
        </w:rPr>
      </w:pPr>
    </w:p>
    <w:p w:rsidR="00146FC0" w:rsidRPr="00286323" w:rsidRDefault="00146FC0" w:rsidP="00F71D3B">
      <w:pPr>
        <w:snapToGrid w:val="0"/>
        <w:spacing w:line="360" w:lineRule="auto"/>
        <w:jc w:val="center"/>
        <w:rPr>
          <w:rFonts w:asciiTheme="minorEastAsia" w:eastAsiaTheme="minorEastAsia" w:hAnsiTheme="minorEastAsia" w:cs="Arial"/>
          <w:color w:val="000000" w:themeColor="text1"/>
          <w:sz w:val="30"/>
          <w:szCs w:val="30"/>
        </w:rPr>
      </w:pPr>
      <w:r w:rsidRPr="00286323">
        <w:rPr>
          <w:rFonts w:asciiTheme="minorEastAsia" w:eastAsiaTheme="minorEastAsia" w:hAnsiTheme="minorEastAsia"/>
          <w:color w:val="000000" w:themeColor="text1"/>
          <w:sz w:val="30"/>
        </w:rPr>
        <w:t>二〇二一年</w:t>
      </w:r>
      <w:r w:rsidR="0000645E" w:rsidRPr="00286323">
        <w:rPr>
          <w:rFonts w:asciiTheme="minorEastAsia" w:eastAsiaTheme="minorEastAsia" w:hAnsiTheme="minorEastAsia"/>
          <w:color w:val="000000" w:themeColor="text1"/>
          <w:sz w:val="30"/>
        </w:rPr>
        <w:t>九</w:t>
      </w:r>
      <w:r w:rsidRPr="00286323">
        <w:rPr>
          <w:rFonts w:asciiTheme="minorEastAsia" w:eastAsiaTheme="minorEastAsia" w:hAnsiTheme="minorEastAsia"/>
          <w:color w:val="000000" w:themeColor="text1"/>
          <w:sz w:val="30"/>
        </w:rPr>
        <w:t>月</w:t>
      </w:r>
    </w:p>
    <w:p w:rsidR="004646BE" w:rsidRPr="00286323" w:rsidRDefault="004646BE" w:rsidP="00F71D3B">
      <w:pPr>
        <w:snapToGrid w:val="0"/>
        <w:spacing w:line="360" w:lineRule="auto"/>
        <w:jc w:val="center"/>
        <w:rPr>
          <w:rFonts w:asciiTheme="minorEastAsia" w:eastAsiaTheme="minorEastAsia" w:hAnsiTheme="minorEastAsia" w:cs="Arial"/>
          <w:color w:val="000000" w:themeColor="text1"/>
          <w:sz w:val="30"/>
          <w:szCs w:val="30"/>
        </w:rPr>
      </w:pPr>
    </w:p>
    <w:p w:rsidR="004646BE" w:rsidRPr="00286323" w:rsidRDefault="004646BE" w:rsidP="00F71D3B">
      <w:pPr>
        <w:snapToGrid w:val="0"/>
        <w:spacing w:line="360" w:lineRule="auto"/>
        <w:jc w:val="center"/>
        <w:rPr>
          <w:rFonts w:asciiTheme="minorEastAsia" w:eastAsiaTheme="minorEastAsia" w:hAnsiTheme="minorEastAsia" w:cs="Arial"/>
          <w:color w:val="000000" w:themeColor="text1"/>
          <w:sz w:val="30"/>
          <w:szCs w:val="30"/>
        </w:rPr>
      </w:pPr>
    </w:p>
    <w:p w:rsidR="001A7CDB" w:rsidRPr="00286323" w:rsidRDefault="001A7CDB" w:rsidP="00F71D3B">
      <w:pPr>
        <w:snapToGrid w:val="0"/>
        <w:spacing w:line="360" w:lineRule="auto"/>
        <w:jc w:val="center"/>
        <w:rPr>
          <w:rFonts w:asciiTheme="minorEastAsia" w:eastAsiaTheme="minorEastAsia" w:hAnsiTheme="minorEastAsia" w:cs="Arial"/>
          <w:b/>
          <w:color w:val="000000" w:themeColor="text1"/>
          <w:sz w:val="24"/>
        </w:rPr>
      </w:pPr>
      <w:r w:rsidRPr="00286323">
        <w:rPr>
          <w:rFonts w:asciiTheme="minorEastAsia" w:eastAsiaTheme="minorEastAsia" w:hAnsiTheme="minorEastAsia" w:cs="Arial"/>
          <w:b/>
          <w:color w:val="000000" w:themeColor="text1"/>
          <w:sz w:val="24"/>
        </w:rPr>
        <w:lastRenderedPageBreak/>
        <w:t>重要提示</w:t>
      </w:r>
    </w:p>
    <w:p w:rsidR="00A80737" w:rsidRPr="00286323" w:rsidRDefault="00A80737" w:rsidP="00F71D3B">
      <w:pPr>
        <w:widowControl w:val="0"/>
        <w:snapToGrid w:val="0"/>
        <w:spacing w:line="360" w:lineRule="auto"/>
        <w:ind w:firstLineChars="200" w:firstLine="422"/>
        <w:mirrorIndents/>
        <w:rPr>
          <w:rFonts w:asciiTheme="minorEastAsia" w:eastAsiaTheme="minorEastAsia" w:hAnsiTheme="minorEastAsia" w:cs="Arial"/>
          <w:b/>
          <w:color w:val="000000" w:themeColor="text1"/>
        </w:rPr>
      </w:pPr>
      <w:r w:rsidRPr="00286323">
        <w:rPr>
          <w:rFonts w:asciiTheme="minorEastAsia" w:eastAsiaTheme="minorEastAsia" w:hAnsiTheme="minorEastAsia" w:cs="Arial" w:hint="eastAsia"/>
          <w:b/>
          <w:color w:val="000000" w:themeColor="text1"/>
        </w:rPr>
        <w:t>易方达沪深</w:t>
      </w:r>
      <w:r w:rsidRPr="00286323">
        <w:rPr>
          <w:rFonts w:asciiTheme="minorEastAsia" w:eastAsiaTheme="minorEastAsia" w:hAnsiTheme="minorEastAsia" w:cs="Arial"/>
          <w:b/>
          <w:color w:val="000000" w:themeColor="text1"/>
        </w:rPr>
        <w:t>300</w:t>
      </w:r>
      <w:r w:rsidRPr="00286323">
        <w:rPr>
          <w:rFonts w:asciiTheme="minorEastAsia" w:eastAsiaTheme="minorEastAsia" w:hAnsiTheme="minorEastAsia" w:cs="Arial" w:hint="eastAsia"/>
          <w:b/>
          <w:color w:val="000000" w:themeColor="text1"/>
        </w:rPr>
        <w:t>量化增强证券投资基金</w:t>
      </w:r>
      <w:r w:rsidR="00B564D9" w:rsidRPr="00286323">
        <w:rPr>
          <w:rFonts w:asciiTheme="minorEastAsia" w:eastAsiaTheme="minorEastAsia" w:hAnsiTheme="minorEastAsia" w:cs="Arial" w:hint="eastAsia"/>
          <w:b/>
          <w:color w:val="000000" w:themeColor="text1"/>
        </w:rPr>
        <w:t>（以下简称“本基金”）</w:t>
      </w:r>
      <w:r w:rsidRPr="00286323">
        <w:rPr>
          <w:rFonts w:asciiTheme="minorEastAsia" w:eastAsiaTheme="minorEastAsia" w:hAnsiTheme="minorEastAsia" w:cs="Arial" w:hint="eastAsia"/>
          <w:b/>
          <w:color w:val="000000" w:themeColor="text1"/>
        </w:rPr>
        <w:t>由易方达量化衍伸股票型证券投资基金变更</w:t>
      </w:r>
      <w:r w:rsidR="00631B4E" w:rsidRPr="00286323">
        <w:rPr>
          <w:rFonts w:asciiTheme="minorEastAsia" w:eastAsiaTheme="minorEastAsia" w:hAnsiTheme="minorEastAsia" w:cs="Arial" w:hint="eastAsia"/>
          <w:b/>
          <w:color w:val="000000" w:themeColor="text1"/>
        </w:rPr>
        <w:t>基金的投资及其他相关</w:t>
      </w:r>
      <w:r w:rsidRPr="00286323">
        <w:rPr>
          <w:rFonts w:asciiTheme="minorEastAsia" w:eastAsiaTheme="minorEastAsia" w:hAnsiTheme="minorEastAsia" w:cs="Arial" w:hint="eastAsia"/>
          <w:b/>
          <w:color w:val="000000" w:themeColor="text1"/>
        </w:rPr>
        <w:t>事宜而来。《</w:t>
      </w:r>
      <w:r w:rsidR="00631B4E" w:rsidRPr="00286323">
        <w:rPr>
          <w:rFonts w:asciiTheme="minorEastAsia" w:eastAsiaTheme="minorEastAsia" w:hAnsiTheme="minorEastAsia" w:cs="Arial" w:hint="eastAsia"/>
          <w:b/>
          <w:color w:val="000000" w:themeColor="text1"/>
        </w:rPr>
        <w:t>关于易方达量化衍伸股票型证券投资基金变更基金的投资及其他相关事项的议案</w:t>
      </w:r>
      <w:r w:rsidRPr="00286323">
        <w:rPr>
          <w:rFonts w:asciiTheme="minorEastAsia" w:eastAsiaTheme="minorEastAsia" w:hAnsiTheme="minorEastAsia" w:cs="Arial" w:hint="eastAsia"/>
          <w:b/>
          <w:color w:val="000000" w:themeColor="text1"/>
        </w:rPr>
        <w:t>》经</w:t>
      </w:r>
      <w:r w:rsidRPr="00286323">
        <w:rPr>
          <w:rFonts w:asciiTheme="minorEastAsia" w:eastAsiaTheme="minorEastAsia" w:hAnsiTheme="minorEastAsia" w:cs="Arial"/>
          <w:b/>
          <w:color w:val="000000" w:themeColor="text1"/>
        </w:rPr>
        <w:t>2013</w:t>
      </w:r>
      <w:r w:rsidRPr="00286323">
        <w:rPr>
          <w:rFonts w:asciiTheme="minorEastAsia" w:eastAsiaTheme="minorEastAsia" w:hAnsiTheme="minorEastAsia" w:cs="Arial" w:hint="eastAsia"/>
          <w:b/>
          <w:color w:val="000000" w:themeColor="text1"/>
        </w:rPr>
        <w:t>年</w:t>
      </w:r>
      <w:r w:rsidR="007454A5" w:rsidRPr="00286323">
        <w:rPr>
          <w:rFonts w:asciiTheme="minorEastAsia" w:eastAsiaTheme="minorEastAsia" w:hAnsiTheme="minorEastAsia" w:cs="Arial" w:hint="eastAsia"/>
          <w:b/>
          <w:color w:val="000000" w:themeColor="text1"/>
        </w:rPr>
        <w:t>4</w:t>
      </w:r>
      <w:r w:rsidRPr="00286323">
        <w:rPr>
          <w:rFonts w:asciiTheme="minorEastAsia" w:eastAsiaTheme="minorEastAsia" w:hAnsiTheme="minorEastAsia" w:cs="Arial" w:hint="eastAsia"/>
          <w:b/>
          <w:color w:val="000000" w:themeColor="text1"/>
        </w:rPr>
        <w:t>月</w:t>
      </w:r>
      <w:r w:rsidR="007454A5" w:rsidRPr="00286323">
        <w:rPr>
          <w:rFonts w:asciiTheme="minorEastAsia" w:eastAsiaTheme="minorEastAsia" w:hAnsiTheme="minorEastAsia" w:cs="Arial" w:hint="eastAsia"/>
          <w:b/>
          <w:color w:val="000000" w:themeColor="text1"/>
        </w:rPr>
        <w:t>1</w:t>
      </w:r>
      <w:r w:rsidRPr="00286323">
        <w:rPr>
          <w:rFonts w:asciiTheme="minorEastAsia" w:eastAsiaTheme="minorEastAsia" w:hAnsiTheme="minorEastAsia" w:cs="Arial" w:hint="eastAsia"/>
          <w:b/>
          <w:color w:val="000000" w:themeColor="text1"/>
        </w:rPr>
        <w:t>日</w:t>
      </w:r>
      <w:r w:rsidR="007454A5" w:rsidRPr="00286323">
        <w:rPr>
          <w:rFonts w:asciiTheme="minorEastAsia" w:eastAsiaTheme="minorEastAsia" w:hAnsiTheme="minorEastAsia" w:cs="Arial"/>
          <w:b/>
          <w:color w:val="000000" w:themeColor="text1"/>
        </w:rPr>
        <w:t>至</w:t>
      </w:r>
      <w:r w:rsidR="007454A5" w:rsidRPr="00286323">
        <w:rPr>
          <w:rFonts w:asciiTheme="minorEastAsia" w:eastAsiaTheme="minorEastAsia" w:hAnsiTheme="minorEastAsia" w:cs="Arial" w:hint="eastAsia"/>
          <w:b/>
          <w:color w:val="000000" w:themeColor="text1"/>
        </w:rPr>
        <w:t>2013年4月30日</w:t>
      </w:r>
      <w:r w:rsidRPr="00286323">
        <w:rPr>
          <w:rFonts w:asciiTheme="minorEastAsia" w:eastAsiaTheme="minorEastAsia" w:hAnsiTheme="minorEastAsia" w:cs="Arial" w:hint="eastAsia"/>
          <w:b/>
          <w:color w:val="000000" w:themeColor="text1"/>
        </w:rPr>
        <w:t>易方达量化衍伸股票型证券投资基金基金份额持有人大会决议通过，并获中国证监会</w:t>
      </w:r>
      <w:r w:rsidRPr="00286323">
        <w:rPr>
          <w:rFonts w:asciiTheme="minorEastAsia" w:eastAsiaTheme="minorEastAsia" w:hAnsiTheme="minorEastAsia" w:cs="Arial"/>
          <w:b/>
          <w:color w:val="000000" w:themeColor="text1"/>
        </w:rPr>
        <w:t>2013</w:t>
      </w:r>
      <w:r w:rsidRPr="00286323">
        <w:rPr>
          <w:rFonts w:asciiTheme="minorEastAsia" w:eastAsiaTheme="minorEastAsia" w:hAnsiTheme="minorEastAsia" w:cs="Arial" w:hint="eastAsia"/>
          <w:b/>
          <w:color w:val="000000" w:themeColor="text1"/>
        </w:rPr>
        <w:t>年</w:t>
      </w:r>
      <w:r w:rsidR="001B62B0" w:rsidRPr="00286323">
        <w:rPr>
          <w:rFonts w:asciiTheme="minorEastAsia" w:eastAsiaTheme="minorEastAsia" w:hAnsiTheme="minorEastAsia" w:cs="Arial" w:hint="eastAsia"/>
          <w:b/>
          <w:color w:val="000000" w:themeColor="text1"/>
        </w:rPr>
        <w:t>6</w:t>
      </w:r>
      <w:r w:rsidRPr="00286323">
        <w:rPr>
          <w:rFonts w:asciiTheme="minorEastAsia" w:eastAsiaTheme="minorEastAsia" w:hAnsiTheme="minorEastAsia" w:cs="Arial" w:hint="eastAsia"/>
          <w:b/>
          <w:color w:val="000000" w:themeColor="text1"/>
        </w:rPr>
        <w:t>月</w:t>
      </w:r>
      <w:r w:rsidR="001B62B0" w:rsidRPr="00286323">
        <w:rPr>
          <w:rFonts w:asciiTheme="minorEastAsia" w:eastAsiaTheme="minorEastAsia" w:hAnsiTheme="minorEastAsia" w:cs="Arial" w:hint="eastAsia"/>
          <w:b/>
          <w:color w:val="000000" w:themeColor="text1"/>
        </w:rPr>
        <w:t>7</w:t>
      </w:r>
      <w:r w:rsidRPr="00286323">
        <w:rPr>
          <w:rFonts w:asciiTheme="minorEastAsia" w:eastAsiaTheme="minorEastAsia" w:hAnsiTheme="minorEastAsia" w:cs="Arial" w:hint="eastAsia"/>
          <w:b/>
          <w:color w:val="000000" w:themeColor="text1"/>
        </w:rPr>
        <w:t>日证监许可［</w:t>
      </w:r>
      <w:r w:rsidRPr="00286323">
        <w:rPr>
          <w:rFonts w:asciiTheme="minorEastAsia" w:eastAsiaTheme="minorEastAsia" w:hAnsiTheme="minorEastAsia" w:cs="Arial"/>
          <w:b/>
          <w:color w:val="000000" w:themeColor="text1"/>
        </w:rPr>
        <w:t>2013</w:t>
      </w:r>
      <w:r w:rsidRPr="00286323">
        <w:rPr>
          <w:rFonts w:asciiTheme="minorEastAsia" w:eastAsiaTheme="minorEastAsia" w:hAnsiTheme="minorEastAsia" w:cs="Arial" w:hint="eastAsia"/>
          <w:b/>
          <w:color w:val="000000" w:themeColor="text1"/>
        </w:rPr>
        <w:t>］</w:t>
      </w:r>
      <w:r w:rsidR="001B62B0" w:rsidRPr="00286323">
        <w:rPr>
          <w:rFonts w:asciiTheme="minorEastAsia" w:eastAsiaTheme="minorEastAsia" w:hAnsiTheme="minorEastAsia" w:cs="Arial" w:hint="eastAsia"/>
          <w:b/>
          <w:color w:val="000000" w:themeColor="text1"/>
        </w:rPr>
        <w:t>742</w:t>
      </w:r>
      <w:r w:rsidRPr="00286323">
        <w:rPr>
          <w:rFonts w:asciiTheme="minorEastAsia" w:eastAsiaTheme="minorEastAsia" w:hAnsiTheme="minorEastAsia" w:cs="Arial" w:hint="eastAsia"/>
          <w:b/>
          <w:color w:val="000000" w:themeColor="text1"/>
        </w:rPr>
        <w:t>号文核准。自</w:t>
      </w:r>
      <w:r w:rsidRPr="00286323">
        <w:rPr>
          <w:rFonts w:asciiTheme="minorEastAsia" w:eastAsiaTheme="minorEastAsia" w:hAnsiTheme="minorEastAsia" w:cs="Arial"/>
          <w:b/>
          <w:color w:val="000000" w:themeColor="text1"/>
        </w:rPr>
        <w:t>2013</w:t>
      </w:r>
      <w:r w:rsidRPr="00286323">
        <w:rPr>
          <w:rFonts w:asciiTheme="minorEastAsia" w:eastAsiaTheme="minorEastAsia" w:hAnsiTheme="minorEastAsia" w:cs="Arial" w:hint="eastAsia"/>
          <w:b/>
          <w:color w:val="000000" w:themeColor="text1"/>
        </w:rPr>
        <w:t>年</w:t>
      </w:r>
      <w:r w:rsidR="001B62B0" w:rsidRPr="00286323">
        <w:rPr>
          <w:rFonts w:asciiTheme="minorEastAsia" w:eastAsiaTheme="minorEastAsia" w:hAnsiTheme="minorEastAsia" w:cs="Arial" w:hint="eastAsia"/>
          <w:b/>
          <w:color w:val="000000" w:themeColor="text1"/>
        </w:rPr>
        <w:t>6</w:t>
      </w:r>
      <w:r w:rsidRPr="00286323">
        <w:rPr>
          <w:rFonts w:asciiTheme="minorEastAsia" w:eastAsiaTheme="minorEastAsia" w:hAnsiTheme="minorEastAsia" w:cs="Arial" w:hint="eastAsia"/>
          <w:b/>
          <w:color w:val="000000" w:themeColor="text1"/>
        </w:rPr>
        <w:t>月</w:t>
      </w:r>
      <w:r w:rsidR="001B62B0" w:rsidRPr="00286323">
        <w:rPr>
          <w:rFonts w:asciiTheme="minorEastAsia" w:eastAsiaTheme="minorEastAsia" w:hAnsiTheme="minorEastAsia" w:cs="Arial" w:hint="eastAsia"/>
          <w:b/>
          <w:color w:val="000000" w:themeColor="text1"/>
        </w:rPr>
        <w:t>7</w:t>
      </w:r>
      <w:r w:rsidRPr="00286323">
        <w:rPr>
          <w:rFonts w:asciiTheme="minorEastAsia" w:eastAsiaTheme="minorEastAsia" w:hAnsiTheme="minorEastAsia" w:cs="Arial" w:hint="eastAsia"/>
          <w:b/>
          <w:color w:val="000000" w:themeColor="text1"/>
        </w:rPr>
        <w:t>日起，由《易方达量化衍伸股票型证券投资基金基金合同》修订而成的《易方达沪深</w:t>
      </w:r>
      <w:r w:rsidRPr="00286323">
        <w:rPr>
          <w:rFonts w:asciiTheme="minorEastAsia" w:eastAsiaTheme="minorEastAsia" w:hAnsiTheme="minorEastAsia" w:cs="Arial"/>
          <w:b/>
          <w:color w:val="000000" w:themeColor="text1"/>
        </w:rPr>
        <w:t>300</w:t>
      </w:r>
      <w:r w:rsidRPr="00286323">
        <w:rPr>
          <w:rFonts w:asciiTheme="minorEastAsia" w:eastAsiaTheme="minorEastAsia" w:hAnsiTheme="minorEastAsia" w:cs="Arial" w:hint="eastAsia"/>
          <w:b/>
          <w:color w:val="000000" w:themeColor="text1"/>
        </w:rPr>
        <w:t>量化增强证券投资基金基金合同》生效。</w:t>
      </w:r>
    </w:p>
    <w:p w:rsidR="001A7CDB" w:rsidRPr="00286323" w:rsidRDefault="001A7CDB" w:rsidP="00F71D3B">
      <w:pPr>
        <w:widowControl w:val="0"/>
        <w:snapToGrid w:val="0"/>
        <w:spacing w:line="360" w:lineRule="auto"/>
        <w:ind w:firstLineChars="200" w:firstLine="422"/>
        <w:mirrorIndents/>
        <w:rPr>
          <w:rFonts w:asciiTheme="minorEastAsia" w:eastAsiaTheme="minorEastAsia" w:hAnsiTheme="minorEastAsia" w:cs="Arial"/>
          <w:b/>
          <w:color w:val="000000" w:themeColor="text1"/>
        </w:rPr>
      </w:pPr>
      <w:r w:rsidRPr="00286323">
        <w:rPr>
          <w:rFonts w:asciiTheme="minorEastAsia" w:eastAsiaTheme="minorEastAsia" w:hAnsiTheme="minorEastAsia" w:cs="Arial"/>
          <w:b/>
          <w:color w:val="000000" w:themeColor="text1"/>
        </w:rPr>
        <w:t>基金管理人保证《招募说明书》的内容真实、准确、完整。</w:t>
      </w:r>
    </w:p>
    <w:p w:rsidR="001A7CDB" w:rsidRPr="00286323" w:rsidRDefault="001A7CDB" w:rsidP="00F71D3B">
      <w:pPr>
        <w:snapToGrid w:val="0"/>
        <w:spacing w:line="360" w:lineRule="auto"/>
        <w:ind w:firstLineChars="200" w:firstLine="422"/>
        <w:mirrorIndents/>
        <w:rPr>
          <w:rFonts w:asciiTheme="minorEastAsia" w:eastAsiaTheme="minorEastAsia" w:hAnsiTheme="minorEastAsia" w:cs="Arial"/>
          <w:b/>
          <w:color w:val="000000" w:themeColor="text1"/>
        </w:rPr>
      </w:pPr>
      <w:r w:rsidRPr="00286323">
        <w:rPr>
          <w:rFonts w:asciiTheme="minorEastAsia" w:eastAsiaTheme="minorEastAsia" w:hAnsiTheme="minorEastAsia" w:cs="Arial"/>
          <w:b/>
          <w:color w:val="000000" w:themeColor="text1"/>
        </w:rPr>
        <w:t>基金管理人依照恪尽职守、诚实信用、谨慎勤勉的原则管理和运用基金财产，但不保证基金一定盈利，也不保证最低收益。</w:t>
      </w:r>
    </w:p>
    <w:p w:rsidR="001A7CDB" w:rsidRPr="00286323" w:rsidRDefault="001A7CDB" w:rsidP="00F71D3B">
      <w:pPr>
        <w:widowControl w:val="0"/>
        <w:snapToGrid w:val="0"/>
        <w:spacing w:line="360" w:lineRule="auto"/>
        <w:ind w:firstLineChars="200" w:firstLine="422"/>
        <w:mirrorIndents/>
        <w:rPr>
          <w:rFonts w:asciiTheme="minorEastAsia" w:eastAsiaTheme="minorEastAsia" w:hAnsiTheme="minorEastAsia" w:cs="Arial"/>
          <w:b/>
          <w:color w:val="000000" w:themeColor="text1"/>
        </w:rPr>
      </w:pPr>
      <w:r w:rsidRPr="00286323">
        <w:rPr>
          <w:rFonts w:asciiTheme="minorEastAsia" w:eastAsiaTheme="minorEastAsia" w:hAnsiTheme="minorEastAsia" w:cs="Arial"/>
          <w:b/>
          <w:color w:val="000000" w:themeColor="text1"/>
        </w:rPr>
        <w:t>本《招募说明书》经中国证监会核准，但中国证监会对本基金募集的核准，并不表明其对本基金的价值和收益作出实质性判断或保证，也不表明投资于本基金没有风险。</w:t>
      </w:r>
    </w:p>
    <w:p w:rsidR="007C2A47" w:rsidRPr="00286323" w:rsidRDefault="007C2A47" w:rsidP="007C2A47">
      <w:pPr>
        <w:widowControl w:val="0"/>
        <w:snapToGrid w:val="0"/>
        <w:spacing w:line="360" w:lineRule="auto"/>
        <w:ind w:firstLineChars="200" w:firstLine="422"/>
        <w:mirrorIndents/>
        <w:rPr>
          <w:rFonts w:asciiTheme="minorEastAsia" w:eastAsiaTheme="minorEastAsia" w:hAnsiTheme="minorEastAsia" w:cs="Arial"/>
          <w:b/>
          <w:color w:val="000000" w:themeColor="text1"/>
        </w:rPr>
      </w:pPr>
      <w:r w:rsidRPr="00286323">
        <w:rPr>
          <w:rFonts w:asciiTheme="minorEastAsia" w:eastAsiaTheme="minorEastAsia" w:hAnsiTheme="minorEastAsia" w:cs="Arial" w:hint="eastAsia"/>
          <w:b/>
          <w:color w:val="000000" w:themeColor="text1"/>
        </w:rPr>
        <w:t>本基金标的指数为沪深300指数。</w:t>
      </w:r>
    </w:p>
    <w:p w:rsidR="007C2A47" w:rsidRPr="00286323" w:rsidRDefault="007C2A47" w:rsidP="007C2A47">
      <w:pPr>
        <w:widowControl w:val="0"/>
        <w:snapToGrid w:val="0"/>
        <w:spacing w:line="360" w:lineRule="auto"/>
        <w:ind w:firstLineChars="200" w:firstLine="422"/>
        <w:mirrorIndents/>
        <w:rPr>
          <w:rFonts w:asciiTheme="minorEastAsia" w:eastAsiaTheme="minorEastAsia" w:hAnsiTheme="minorEastAsia" w:cs="Arial"/>
          <w:b/>
          <w:color w:val="000000" w:themeColor="text1"/>
        </w:rPr>
      </w:pPr>
      <w:r w:rsidRPr="00286323">
        <w:rPr>
          <w:rFonts w:asciiTheme="minorEastAsia" w:eastAsiaTheme="minorEastAsia" w:hAnsiTheme="minorEastAsia" w:cs="Arial" w:hint="eastAsia"/>
          <w:b/>
          <w:color w:val="000000" w:themeColor="text1"/>
        </w:rPr>
        <w:t>（1）指数样本空间</w:t>
      </w:r>
    </w:p>
    <w:p w:rsidR="007C2A47" w:rsidRPr="00286323" w:rsidRDefault="007C2A47" w:rsidP="007C2A47">
      <w:pPr>
        <w:widowControl w:val="0"/>
        <w:snapToGrid w:val="0"/>
        <w:spacing w:line="360" w:lineRule="auto"/>
        <w:ind w:firstLineChars="200" w:firstLine="422"/>
        <w:mirrorIndents/>
        <w:rPr>
          <w:rFonts w:asciiTheme="minorEastAsia" w:eastAsiaTheme="minorEastAsia" w:hAnsiTheme="minorEastAsia" w:cs="Arial"/>
          <w:b/>
          <w:color w:val="000000" w:themeColor="text1"/>
        </w:rPr>
      </w:pPr>
      <w:r w:rsidRPr="00286323">
        <w:rPr>
          <w:rFonts w:asciiTheme="minorEastAsia" w:eastAsiaTheme="minorEastAsia" w:hAnsiTheme="minorEastAsia" w:cs="Arial" w:hint="eastAsia"/>
          <w:b/>
          <w:color w:val="000000" w:themeColor="text1"/>
        </w:rPr>
        <w:t>指数样本空间由同时满足以下条件的非ST、*ST沪深A股和红筹企业发行的存托凭证组成：</w:t>
      </w:r>
    </w:p>
    <w:p w:rsidR="007C2A47" w:rsidRPr="00286323" w:rsidRDefault="007C2A47" w:rsidP="007C2A47">
      <w:pPr>
        <w:widowControl w:val="0"/>
        <w:snapToGrid w:val="0"/>
        <w:spacing w:line="360" w:lineRule="auto"/>
        <w:ind w:firstLineChars="200" w:firstLine="422"/>
        <w:mirrorIndents/>
        <w:rPr>
          <w:rFonts w:asciiTheme="minorEastAsia" w:eastAsiaTheme="minorEastAsia" w:hAnsiTheme="minorEastAsia" w:cs="Arial"/>
          <w:b/>
          <w:color w:val="000000" w:themeColor="text1"/>
        </w:rPr>
      </w:pPr>
      <w:r w:rsidRPr="00286323">
        <w:rPr>
          <w:rFonts w:asciiTheme="minorEastAsia" w:eastAsiaTheme="minorEastAsia" w:hAnsiTheme="minorEastAsia" w:cs="Arial" w:hint="eastAsia"/>
          <w:b/>
          <w:color w:val="000000" w:themeColor="text1"/>
        </w:rPr>
        <w:t>1）科创板证券：上市时间超过一年。</w:t>
      </w:r>
    </w:p>
    <w:p w:rsidR="007C2A47" w:rsidRPr="00286323" w:rsidRDefault="007C2A47" w:rsidP="007C2A47">
      <w:pPr>
        <w:widowControl w:val="0"/>
        <w:snapToGrid w:val="0"/>
        <w:spacing w:line="360" w:lineRule="auto"/>
        <w:ind w:firstLineChars="200" w:firstLine="422"/>
        <w:mirrorIndents/>
        <w:rPr>
          <w:rFonts w:asciiTheme="minorEastAsia" w:eastAsiaTheme="minorEastAsia" w:hAnsiTheme="minorEastAsia" w:cs="Arial"/>
          <w:b/>
          <w:color w:val="000000" w:themeColor="text1"/>
        </w:rPr>
      </w:pPr>
      <w:r w:rsidRPr="00286323">
        <w:rPr>
          <w:rFonts w:asciiTheme="minorEastAsia" w:eastAsiaTheme="minorEastAsia" w:hAnsiTheme="minorEastAsia" w:cs="Arial" w:hint="eastAsia"/>
          <w:b/>
          <w:color w:val="000000" w:themeColor="text1"/>
        </w:rPr>
        <w:t>2）创业板证券：上市时间超过三年。</w:t>
      </w:r>
    </w:p>
    <w:p w:rsidR="007C2A47" w:rsidRPr="00286323" w:rsidRDefault="007C2A47" w:rsidP="007C2A47">
      <w:pPr>
        <w:widowControl w:val="0"/>
        <w:snapToGrid w:val="0"/>
        <w:spacing w:line="360" w:lineRule="auto"/>
        <w:ind w:firstLineChars="200" w:firstLine="422"/>
        <w:mirrorIndents/>
        <w:rPr>
          <w:rFonts w:asciiTheme="minorEastAsia" w:eastAsiaTheme="minorEastAsia" w:hAnsiTheme="minorEastAsia" w:cs="Arial"/>
          <w:b/>
          <w:color w:val="000000" w:themeColor="text1"/>
        </w:rPr>
      </w:pPr>
      <w:r w:rsidRPr="00286323">
        <w:rPr>
          <w:rFonts w:asciiTheme="minorEastAsia" w:eastAsiaTheme="minorEastAsia" w:hAnsiTheme="minorEastAsia" w:cs="Arial" w:hint="eastAsia"/>
          <w:b/>
          <w:color w:val="000000" w:themeColor="text1"/>
        </w:rPr>
        <w:t>3）其他证券：上市时间超过一个季度，除非该证券自上市以来日均总市值排在前30位。</w:t>
      </w:r>
    </w:p>
    <w:p w:rsidR="007C2A47" w:rsidRPr="00286323" w:rsidRDefault="007C2A47" w:rsidP="007C2A47">
      <w:pPr>
        <w:widowControl w:val="0"/>
        <w:snapToGrid w:val="0"/>
        <w:spacing w:line="360" w:lineRule="auto"/>
        <w:ind w:firstLineChars="200" w:firstLine="422"/>
        <w:mirrorIndents/>
        <w:rPr>
          <w:rFonts w:asciiTheme="minorEastAsia" w:eastAsiaTheme="minorEastAsia" w:hAnsiTheme="minorEastAsia" w:cs="Arial"/>
          <w:b/>
          <w:color w:val="000000" w:themeColor="text1"/>
        </w:rPr>
      </w:pPr>
      <w:r w:rsidRPr="00286323">
        <w:rPr>
          <w:rFonts w:asciiTheme="minorEastAsia" w:eastAsiaTheme="minorEastAsia" w:hAnsiTheme="minorEastAsia" w:cs="Arial" w:hint="eastAsia"/>
          <w:b/>
          <w:color w:val="000000" w:themeColor="text1"/>
        </w:rPr>
        <w:t>（2）选样方法</w:t>
      </w:r>
    </w:p>
    <w:p w:rsidR="007C2A47" w:rsidRPr="00286323" w:rsidRDefault="007C2A47" w:rsidP="007C2A47">
      <w:pPr>
        <w:widowControl w:val="0"/>
        <w:snapToGrid w:val="0"/>
        <w:spacing w:line="360" w:lineRule="auto"/>
        <w:ind w:firstLineChars="200" w:firstLine="422"/>
        <w:mirrorIndents/>
        <w:rPr>
          <w:rFonts w:asciiTheme="minorEastAsia" w:eastAsiaTheme="minorEastAsia" w:hAnsiTheme="minorEastAsia" w:cs="Arial"/>
          <w:b/>
          <w:color w:val="000000" w:themeColor="text1"/>
        </w:rPr>
      </w:pPr>
      <w:r w:rsidRPr="00286323">
        <w:rPr>
          <w:rFonts w:asciiTheme="minorEastAsia" w:eastAsiaTheme="minorEastAsia" w:hAnsiTheme="minorEastAsia" w:cs="Arial" w:hint="eastAsia"/>
          <w:b/>
          <w:color w:val="000000" w:themeColor="text1"/>
        </w:rPr>
        <w:t>沪深300指数样本是按照以下方法选择经营状况良好、无违法违规事件、财务报告无重大问题、证券价格无明显异常波动或市场操纵的公司：</w:t>
      </w:r>
    </w:p>
    <w:p w:rsidR="007C2A47" w:rsidRPr="00286323" w:rsidRDefault="007C2A47" w:rsidP="007C2A47">
      <w:pPr>
        <w:widowControl w:val="0"/>
        <w:snapToGrid w:val="0"/>
        <w:spacing w:line="360" w:lineRule="auto"/>
        <w:ind w:firstLineChars="200" w:firstLine="422"/>
        <w:mirrorIndents/>
        <w:rPr>
          <w:rFonts w:asciiTheme="minorEastAsia" w:eastAsiaTheme="minorEastAsia" w:hAnsiTheme="minorEastAsia" w:cs="Arial"/>
          <w:b/>
          <w:color w:val="000000" w:themeColor="text1"/>
        </w:rPr>
      </w:pPr>
      <w:r w:rsidRPr="00286323">
        <w:rPr>
          <w:rFonts w:asciiTheme="minorEastAsia" w:eastAsiaTheme="minorEastAsia" w:hAnsiTheme="minorEastAsia" w:cs="Arial" w:hint="eastAsia"/>
          <w:b/>
          <w:color w:val="000000" w:themeColor="text1"/>
        </w:rPr>
        <w:t>1）对样本空间内证券按照过去一年的日均成交金额由高到低排名，剔除排名后50%的证券；</w:t>
      </w:r>
    </w:p>
    <w:p w:rsidR="007C2A47" w:rsidRPr="00286323" w:rsidRDefault="007C2A47" w:rsidP="007C2A47">
      <w:pPr>
        <w:widowControl w:val="0"/>
        <w:snapToGrid w:val="0"/>
        <w:spacing w:line="360" w:lineRule="auto"/>
        <w:ind w:firstLineChars="200" w:firstLine="422"/>
        <w:mirrorIndents/>
        <w:rPr>
          <w:rFonts w:asciiTheme="minorEastAsia" w:eastAsiaTheme="minorEastAsia" w:hAnsiTheme="minorEastAsia" w:cs="Arial"/>
          <w:b/>
          <w:color w:val="000000" w:themeColor="text1"/>
        </w:rPr>
      </w:pPr>
      <w:r w:rsidRPr="00286323">
        <w:rPr>
          <w:rFonts w:asciiTheme="minorEastAsia" w:eastAsiaTheme="minorEastAsia" w:hAnsiTheme="minorEastAsia" w:cs="Arial" w:hint="eastAsia"/>
          <w:b/>
          <w:color w:val="000000" w:themeColor="text1"/>
        </w:rPr>
        <w:t>2）对样本空间内剩余证券，按照过去一年的日均总市值由高到低排名，选取前300名的证券作为指数样本。</w:t>
      </w:r>
    </w:p>
    <w:p w:rsidR="007C2A47" w:rsidRPr="00286323" w:rsidRDefault="007C2A47" w:rsidP="007C2A47">
      <w:pPr>
        <w:widowControl w:val="0"/>
        <w:snapToGrid w:val="0"/>
        <w:spacing w:line="360" w:lineRule="auto"/>
        <w:ind w:firstLineChars="200" w:firstLine="422"/>
        <w:mirrorIndents/>
        <w:rPr>
          <w:rFonts w:asciiTheme="minorEastAsia" w:eastAsiaTheme="minorEastAsia" w:hAnsiTheme="minorEastAsia" w:cs="Arial"/>
          <w:b/>
          <w:color w:val="000000" w:themeColor="text1"/>
        </w:rPr>
      </w:pPr>
      <w:r w:rsidRPr="00286323">
        <w:rPr>
          <w:rFonts w:asciiTheme="minorEastAsia" w:eastAsiaTheme="minorEastAsia" w:hAnsiTheme="minorEastAsia" w:cs="Arial" w:hint="eastAsia"/>
          <w:b/>
          <w:color w:val="000000" w:themeColor="text1"/>
        </w:rPr>
        <w:t>（3）指数计算</w:t>
      </w:r>
    </w:p>
    <w:p w:rsidR="007C2A47" w:rsidRPr="00286323" w:rsidRDefault="007C2A47" w:rsidP="007C2A47">
      <w:pPr>
        <w:widowControl w:val="0"/>
        <w:snapToGrid w:val="0"/>
        <w:spacing w:line="360" w:lineRule="auto"/>
        <w:ind w:firstLineChars="200" w:firstLine="422"/>
        <w:mirrorIndents/>
        <w:rPr>
          <w:rFonts w:asciiTheme="minorEastAsia" w:eastAsiaTheme="minorEastAsia" w:hAnsiTheme="minorEastAsia" w:cs="Arial"/>
          <w:b/>
          <w:color w:val="000000" w:themeColor="text1"/>
        </w:rPr>
      </w:pPr>
      <w:r w:rsidRPr="00286323">
        <w:rPr>
          <w:rFonts w:asciiTheme="minorEastAsia" w:eastAsiaTheme="minorEastAsia" w:hAnsiTheme="minorEastAsia" w:cs="Arial" w:hint="eastAsia"/>
          <w:b/>
          <w:color w:val="000000" w:themeColor="text1"/>
        </w:rPr>
        <w:t>指数计算公式为：报告期指数=报告期样本的调整市值/除数×1000。其中，调整市值＝Σ（证券价格×调整股本数）。调整股本数的计算方法、除数修正方法参见计算与维护细则。指数计算中的调整股本数系根据分级靠档的方法对样本股本进行调整而获得。要计</w:t>
      </w:r>
      <w:r w:rsidRPr="00286323">
        <w:rPr>
          <w:rFonts w:asciiTheme="minorEastAsia" w:eastAsiaTheme="minorEastAsia" w:hAnsiTheme="minorEastAsia" w:cs="Arial" w:hint="eastAsia"/>
          <w:b/>
          <w:color w:val="000000" w:themeColor="text1"/>
        </w:rPr>
        <w:lastRenderedPageBreak/>
        <w:t>算调整股本数，需要确定自由流通量和分级靠档两个因素。当样本名单、股本结构发生变化或样本的调整市值出现非交易因素的变动时，根据样本股本维护规则，采用“除数修正法”修正原除数，以保证指数的连续性。</w:t>
      </w:r>
    </w:p>
    <w:p w:rsidR="007C2A47" w:rsidRPr="00286323" w:rsidRDefault="007C2A47" w:rsidP="007C2A47">
      <w:pPr>
        <w:widowControl w:val="0"/>
        <w:snapToGrid w:val="0"/>
        <w:spacing w:line="360" w:lineRule="auto"/>
        <w:ind w:firstLineChars="200" w:firstLine="422"/>
        <w:mirrorIndents/>
        <w:rPr>
          <w:rFonts w:asciiTheme="minorEastAsia" w:eastAsiaTheme="minorEastAsia" w:hAnsiTheme="minorEastAsia" w:cs="Arial"/>
          <w:b/>
          <w:color w:val="000000" w:themeColor="text1"/>
        </w:rPr>
      </w:pPr>
      <w:r w:rsidRPr="00286323">
        <w:rPr>
          <w:rFonts w:asciiTheme="minorEastAsia" w:eastAsiaTheme="minorEastAsia" w:hAnsiTheme="minorEastAsia" w:cs="Arial" w:hint="eastAsia"/>
          <w:b/>
          <w:color w:val="000000" w:themeColor="text1"/>
        </w:rPr>
        <w:t>有关标的指数具体编制方案及成份股信息详见上海证券交易所网站，网址： www.sse.com.cn。</w:t>
      </w:r>
    </w:p>
    <w:p w:rsidR="007C2A47" w:rsidRPr="00286323" w:rsidRDefault="007C2A47" w:rsidP="007C2A47">
      <w:pPr>
        <w:widowControl w:val="0"/>
        <w:snapToGrid w:val="0"/>
        <w:spacing w:line="360" w:lineRule="auto"/>
        <w:ind w:firstLineChars="200" w:firstLine="422"/>
        <w:mirrorIndents/>
        <w:rPr>
          <w:rFonts w:asciiTheme="minorEastAsia" w:eastAsiaTheme="minorEastAsia" w:hAnsiTheme="minorEastAsia" w:cs="Arial"/>
          <w:b/>
          <w:color w:val="000000" w:themeColor="text1"/>
        </w:rPr>
      </w:pPr>
      <w:r w:rsidRPr="00286323">
        <w:rPr>
          <w:rFonts w:asciiTheme="minorEastAsia" w:eastAsiaTheme="minorEastAsia" w:hAnsiTheme="minorEastAsia" w:cs="Arial"/>
          <w:b/>
          <w:color w:val="000000" w:themeColor="text1"/>
        </w:rPr>
        <w:t>本基金投资于证券</w:t>
      </w:r>
      <w:r w:rsidRPr="00286323">
        <w:rPr>
          <w:rFonts w:asciiTheme="minorEastAsia" w:eastAsiaTheme="minorEastAsia" w:hAnsiTheme="minorEastAsia" w:cs="Arial" w:hint="eastAsia"/>
          <w:b/>
          <w:color w:val="000000" w:themeColor="text1"/>
        </w:rPr>
        <w:t>、期货</w:t>
      </w:r>
      <w:r w:rsidRPr="00286323">
        <w:rPr>
          <w:rFonts w:asciiTheme="minorEastAsia" w:eastAsiaTheme="minorEastAsia" w:hAnsiTheme="minorEastAsia" w:cs="Arial"/>
          <w:b/>
          <w:color w:val="000000" w:themeColor="text1"/>
        </w:rPr>
        <w:t>市场，基金净值会因为证券</w:t>
      </w:r>
      <w:r w:rsidRPr="00286323">
        <w:rPr>
          <w:rFonts w:asciiTheme="minorEastAsia" w:eastAsiaTheme="minorEastAsia" w:hAnsiTheme="minorEastAsia" w:cs="Arial" w:hint="eastAsia"/>
          <w:b/>
          <w:color w:val="000000" w:themeColor="text1"/>
        </w:rPr>
        <w:t>期货</w:t>
      </w:r>
      <w:r w:rsidRPr="00286323">
        <w:rPr>
          <w:rFonts w:asciiTheme="minorEastAsia" w:eastAsiaTheme="minorEastAsia" w:hAnsiTheme="minorEastAsia" w:cs="Arial"/>
          <w:b/>
          <w:color w:val="000000" w:themeColor="text1"/>
        </w:rPr>
        <w:t>市场波动等因素</w:t>
      </w:r>
      <w:r w:rsidRPr="00286323">
        <w:rPr>
          <w:rFonts w:asciiTheme="minorEastAsia" w:eastAsiaTheme="minorEastAsia" w:hAnsiTheme="minorEastAsia" w:cs="Arial" w:hint="eastAsia"/>
          <w:b/>
          <w:color w:val="000000" w:themeColor="text1"/>
        </w:rPr>
        <w:t>而</w:t>
      </w:r>
      <w:r w:rsidRPr="00286323">
        <w:rPr>
          <w:rFonts w:asciiTheme="minorEastAsia" w:eastAsiaTheme="minorEastAsia" w:hAnsiTheme="minorEastAsia" w:cs="Arial"/>
          <w:b/>
          <w:color w:val="000000" w:themeColor="text1"/>
        </w:rPr>
        <w:t>产生波动。投资有风险，投资人在投资本基金前，</w:t>
      </w:r>
      <w:r w:rsidRPr="00286323">
        <w:rPr>
          <w:rFonts w:asciiTheme="minorEastAsia" w:eastAsiaTheme="minorEastAsia" w:hAnsiTheme="minorEastAsia" w:cs="Arial" w:hint="eastAsia"/>
          <w:b/>
          <w:color w:val="000000" w:themeColor="text1"/>
        </w:rPr>
        <w:t>敬</w:t>
      </w:r>
      <w:r w:rsidRPr="00286323">
        <w:rPr>
          <w:rFonts w:asciiTheme="minorEastAsia" w:eastAsiaTheme="minorEastAsia" w:hAnsiTheme="minorEastAsia" w:cs="Arial"/>
          <w:b/>
          <w:color w:val="000000" w:themeColor="text1"/>
        </w:rPr>
        <w:t>请认真阅读本招募说明书</w:t>
      </w:r>
      <w:r w:rsidRPr="00286323">
        <w:rPr>
          <w:rFonts w:asciiTheme="minorEastAsia" w:eastAsiaTheme="minorEastAsia" w:hAnsiTheme="minorEastAsia" w:hint="eastAsia"/>
          <w:b/>
          <w:color w:val="000000" w:themeColor="text1"/>
        </w:rPr>
        <w:t>和基金产品资料概要</w:t>
      </w:r>
      <w:r w:rsidRPr="00286323">
        <w:rPr>
          <w:rFonts w:asciiTheme="minorEastAsia" w:eastAsiaTheme="minorEastAsia" w:hAnsiTheme="minorEastAsia" w:cs="Arial"/>
          <w:b/>
          <w:color w:val="000000" w:themeColor="text1"/>
        </w:rPr>
        <w:t>，全面认识本基金的风险收益特征和产品特性，充分考虑自身的风险承受能力，理性判断市场，对申购基金的意愿、时机、数量等投资行为作出独立决策，获得基金投资收益，亦承担基金投资中出现的各类风险。投资本基金可能遇到的风险包括：</w:t>
      </w:r>
      <w:r w:rsidRPr="00286323">
        <w:rPr>
          <w:rFonts w:asciiTheme="minorEastAsia" w:eastAsiaTheme="minorEastAsia" w:hAnsiTheme="minorEastAsia" w:cs="Arial" w:hint="eastAsia"/>
          <w:b/>
          <w:color w:val="000000" w:themeColor="text1"/>
        </w:rPr>
        <w:t>与采用量化模型进行指数增强投资及参与股指期货投资相关的特有风险；本基金可投资科创板股票，可能给本基金带来的额外风险；投资于存托凭证的风险；因政治、经济、投资者心理与交易制度等各种因素对证券价格产生影响而形成的市场风险；</w:t>
      </w:r>
      <w:r w:rsidRPr="00286323">
        <w:rPr>
          <w:rFonts w:asciiTheme="minorEastAsia" w:eastAsiaTheme="minorEastAsia" w:hAnsiTheme="minorEastAsia" w:cs="Arial"/>
          <w:b/>
          <w:color w:val="000000" w:themeColor="text1"/>
        </w:rPr>
        <w:t>流动性风险；</w:t>
      </w:r>
      <w:r w:rsidRPr="00286323">
        <w:rPr>
          <w:rFonts w:asciiTheme="minorEastAsia" w:eastAsiaTheme="minorEastAsia" w:hAnsiTheme="minorEastAsia" w:hint="eastAsia"/>
          <w:b/>
          <w:color w:val="000000" w:themeColor="text1"/>
        </w:rPr>
        <w:t>本基金法律文件中涉及基金风险特征的表述与销售机构对基金的风险评级可能不一致的风险；</w:t>
      </w:r>
      <w:r w:rsidRPr="00286323">
        <w:rPr>
          <w:rFonts w:asciiTheme="minorEastAsia" w:eastAsiaTheme="minorEastAsia" w:hAnsiTheme="minorEastAsia" w:cs="Arial" w:hint="eastAsia"/>
          <w:b/>
          <w:color w:val="000000" w:themeColor="text1"/>
        </w:rPr>
        <w:t>基金管理人在基金管理实施过程中产生的管理风险，等等。投资者投资于本基金面临跟踪误差控制未达约定目标、指数编制机构停止服务、成份股停牌等潜在风险。</w:t>
      </w:r>
      <w:r w:rsidRPr="00286323">
        <w:rPr>
          <w:rFonts w:asciiTheme="minorEastAsia" w:eastAsiaTheme="minorEastAsia" w:hAnsiTheme="minorEastAsia" w:cs="Arial"/>
          <w:b/>
          <w:color w:val="000000" w:themeColor="text1"/>
        </w:rPr>
        <w:t>基金管理人提醒投资人基金投资的</w:t>
      </w:r>
      <w:r w:rsidRPr="00286323">
        <w:rPr>
          <w:rFonts w:asciiTheme="minorEastAsia" w:eastAsiaTheme="minorEastAsia" w:hAnsiTheme="minorEastAsia" w:cs="Arial" w:hint="eastAsia"/>
          <w:b/>
          <w:color w:val="000000" w:themeColor="text1"/>
        </w:rPr>
        <w:t>“</w:t>
      </w:r>
      <w:r w:rsidRPr="00286323">
        <w:rPr>
          <w:rFonts w:asciiTheme="minorEastAsia" w:eastAsiaTheme="minorEastAsia" w:hAnsiTheme="minorEastAsia" w:cs="Arial"/>
          <w:b/>
          <w:color w:val="000000" w:themeColor="text1"/>
        </w:rPr>
        <w:t>买者自负</w:t>
      </w:r>
      <w:r w:rsidRPr="00286323">
        <w:rPr>
          <w:rFonts w:asciiTheme="minorEastAsia" w:eastAsiaTheme="minorEastAsia" w:hAnsiTheme="minorEastAsia" w:cs="Arial" w:hint="eastAsia"/>
          <w:b/>
          <w:color w:val="000000" w:themeColor="text1"/>
        </w:rPr>
        <w:t>”</w:t>
      </w:r>
      <w:r w:rsidRPr="00286323">
        <w:rPr>
          <w:rFonts w:asciiTheme="minorEastAsia" w:eastAsiaTheme="minorEastAsia" w:hAnsiTheme="minorEastAsia" w:cs="Arial"/>
          <w:b/>
          <w:color w:val="000000" w:themeColor="text1"/>
        </w:rPr>
        <w:t>原则，在投资人作出投资决策后，基金运营状况与基金净值变化引致的投资风险，由投资人自行负责。</w:t>
      </w:r>
    </w:p>
    <w:p w:rsidR="007C2A47" w:rsidRPr="00286323" w:rsidRDefault="007C2A47" w:rsidP="007C2A47">
      <w:pPr>
        <w:widowControl w:val="0"/>
        <w:snapToGrid w:val="0"/>
        <w:spacing w:line="360" w:lineRule="auto"/>
        <w:ind w:firstLineChars="200" w:firstLine="422"/>
        <w:mirrorIndents/>
        <w:rPr>
          <w:rFonts w:asciiTheme="minorEastAsia" w:eastAsiaTheme="minorEastAsia" w:hAnsiTheme="minorEastAsia" w:cs="Arial"/>
          <w:b/>
          <w:color w:val="000000" w:themeColor="text1"/>
        </w:rPr>
      </w:pPr>
      <w:r w:rsidRPr="00286323">
        <w:rPr>
          <w:rFonts w:asciiTheme="minorEastAsia" w:eastAsiaTheme="minorEastAsia" w:hAnsiTheme="minorEastAsia" w:cs="Arial"/>
          <w:b/>
          <w:color w:val="000000" w:themeColor="text1"/>
        </w:rPr>
        <w:t>基金的过往业绩并不预示其未来表现。</w:t>
      </w:r>
    </w:p>
    <w:p w:rsidR="00564B98" w:rsidRPr="00286323" w:rsidRDefault="0000645E" w:rsidP="00B461DD">
      <w:pPr>
        <w:widowControl w:val="0"/>
        <w:snapToGrid w:val="0"/>
        <w:spacing w:line="360" w:lineRule="auto"/>
        <w:ind w:firstLineChars="200" w:firstLine="422"/>
        <w:mirrorIndents/>
        <w:rPr>
          <w:rFonts w:asciiTheme="minorEastAsia" w:eastAsiaTheme="minorEastAsia" w:hAnsiTheme="minorEastAsia" w:cs="Arial"/>
          <w:b/>
          <w:color w:val="000000" w:themeColor="text1"/>
          <w:sz w:val="24"/>
        </w:rPr>
      </w:pPr>
      <w:r w:rsidRPr="00286323">
        <w:rPr>
          <w:rFonts w:asciiTheme="minorEastAsia" w:eastAsiaTheme="minorEastAsia" w:hAnsiTheme="minorEastAsia"/>
          <w:b/>
          <w:color w:val="000000" w:themeColor="text1"/>
        </w:rPr>
        <w:t>本基金本次更新招募说明书对基金经理及基金管理人章节相关信息进行更新，相关信息更新截止日为2021年9月4日。</w:t>
      </w:r>
      <w:r w:rsidR="007C2A47" w:rsidRPr="00286323">
        <w:rPr>
          <w:rFonts w:asciiTheme="minorEastAsia" w:eastAsiaTheme="minorEastAsia" w:hAnsiTheme="minorEastAsia"/>
          <w:b/>
          <w:color w:val="000000" w:themeColor="text1"/>
        </w:rPr>
        <w:t>本基金基金合同</w:t>
      </w:r>
      <w:r w:rsidRPr="00286323">
        <w:rPr>
          <w:rFonts w:asciiTheme="minorEastAsia" w:eastAsiaTheme="minorEastAsia" w:hAnsiTheme="minorEastAsia"/>
          <w:b/>
          <w:color w:val="000000" w:themeColor="text1"/>
        </w:rPr>
        <w:t>及</w:t>
      </w:r>
      <w:r w:rsidR="007C2A47" w:rsidRPr="00286323">
        <w:rPr>
          <w:rFonts w:asciiTheme="minorEastAsia" w:eastAsiaTheme="minorEastAsia" w:hAnsiTheme="minorEastAsia"/>
          <w:b/>
          <w:color w:val="000000" w:themeColor="text1"/>
        </w:rPr>
        <w:t>托管协议修订相关信息更新截止日为2021年4月1日。本基金有关财务数据及净值表现截止日为2020年12月31日，主要人员情况截止日为2021年3月27日，除非另有说明，本招募说明书其他所载内容截止日为2021年2月16日。（本报告中财务数据未经审计）</w:t>
      </w:r>
    </w:p>
    <w:p w:rsidR="00564B98" w:rsidRPr="00286323" w:rsidRDefault="00564B98" w:rsidP="00F71D3B">
      <w:pPr>
        <w:snapToGrid w:val="0"/>
        <w:spacing w:line="360" w:lineRule="auto"/>
        <w:rPr>
          <w:rFonts w:asciiTheme="minorEastAsia" w:eastAsiaTheme="minorEastAsia" w:hAnsiTheme="minorEastAsia" w:cs="Arial"/>
          <w:b/>
          <w:color w:val="000000" w:themeColor="text1"/>
          <w:sz w:val="24"/>
        </w:rPr>
        <w:sectPr w:rsidR="00564B98" w:rsidRPr="00286323" w:rsidSect="00D648D0">
          <w:headerReference w:type="default" r:id="rId9"/>
          <w:footerReference w:type="default" r:id="rId10"/>
          <w:footerReference w:type="first" r:id="rId11"/>
          <w:pgSz w:w="11907" w:h="16840" w:code="9"/>
          <w:pgMar w:top="1701" w:right="1814" w:bottom="1701" w:left="1814" w:header="1134" w:footer="1247" w:gutter="0"/>
          <w:pgNumType w:fmt="upperRoman" w:start="1"/>
          <w:cols w:space="425"/>
          <w:docGrid w:type="linesAndChars" w:linePitch="447"/>
        </w:sectPr>
      </w:pPr>
    </w:p>
    <w:p w:rsidR="001A7CDB" w:rsidRPr="00286323" w:rsidRDefault="001A7CDB" w:rsidP="00F71D3B">
      <w:pPr>
        <w:adjustRightInd w:val="0"/>
        <w:snapToGrid w:val="0"/>
        <w:spacing w:line="360" w:lineRule="auto"/>
        <w:jc w:val="center"/>
        <w:rPr>
          <w:rFonts w:asciiTheme="minorEastAsia" w:eastAsiaTheme="minorEastAsia" w:hAnsiTheme="minorEastAsia" w:cs="Arial"/>
          <w:b/>
          <w:color w:val="000000" w:themeColor="text1"/>
          <w:sz w:val="28"/>
          <w:szCs w:val="28"/>
        </w:rPr>
      </w:pPr>
      <w:r w:rsidRPr="00286323">
        <w:rPr>
          <w:rFonts w:asciiTheme="minorEastAsia" w:eastAsiaTheme="minorEastAsia" w:hAnsiTheme="minorEastAsia" w:cs="Arial"/>
          <w:b/>
          <w:color w:val="000000" w:themeColor="text1"/>
          <w:sz w:val="28"/>
          <w:szCs w:val="28"/>
        </w:rPr>
        <w:lastRenderedPageBreak/>
        <w:t>目录</w:t>
      </w:r>
    </w:p>
    <w:p w:rsidR="00286323" w:rsidRDefault="00907BEB">
      <w:pPr>
        <w:pStyle w:val="10"/>
        <w:rPr>
          <w:rFonts w:asciiTheme="minorHAnsi" w:eastAsiaTheme="minorEastAsia" w:hAnsiTheme="minorHAnsi" w:cstheme="minorBidi"/>
          <w:b w:val="0"/>
          <w:caps w:val="0"/>
          <w:sz w:val="21"/>
          <w:szCs w:val="22"/>
        </w:rPr>
      </w:pPr>
      <w:r w:rsidRPr="00286323">
        <w:rPr>
          <w:rFonts w:asciiTheme="minorEastAsia" w:eastAsiaTheme="minorEastAsia" w:hAnsiTheme="minorEastAsia" w:cs="Arial"/>
          <w:b w:val="0"/>
          <w:color w:val="000000" w:themeColor="text1"/>
        </w:rPr>
        <w:fldChar w:fldCharType="begin"/>
      </w:r>
      <w:r w:rsidR="00A80907" w:rsidRPr="00286323">
        <w:rPr>
          <w:rFonts w:asciiTheme="minorEastAsia" w:eastAsiaTheme="minorEastAsia" w:hAnsiTheme="minorEastAsia" w:cs="Arial"/>
          <w:b w:val="0"/>
          <w:color w:val="000000" w:themeColor="text1"/>
        </w:rPr>
        <w:instrText xml:space="preserve"> TOC \o "1-1" \h \z \u </w:instrText>
      </w:r>
      <w:r w:rsidRPr="00286323">
        <w:rPr>
          <w:rFonts w:asciiTheme="minorEastAsia" w:eastAsiaTheme="minorEastAsia" w:hAnsiTheme="minorEastAsia" w:cs="Arial"/>
          <w:b w:val="0"/>
          <w:color w:val="000000" w:themeColor="text1"/>
        </w:rPr>
        <w:fldChar w:fldCharType="separate"/>
      </w:r>
      <w:hyperlink w:anchor="_Toc81922635" w:history="1">
        <w:r w:rsidR="00286323" w:rsidRPr="00387889">
          <w:rPr>
            <w:rStyle w:val="af2"/>
            <w:rFonts w:asciiTheme="minorEastAsia" w:hAnsiTheme="minorEastAsia" w:cs="Arial" w:hint="eastAsia"/>
          </w:rPr>
          <w:t>一、</w:t>
        </w:r>
        <w:r w:rsidR="00286323">
          <w:rPr>
            <w:rFonts w:asciiTheme="minorHAnsi" w:eastAsiaTheme="minorEastAsia" w:hAnsiTheme="minorHAnsi" w:cstheme="minorBidi"/>
            <w:b w:val="0"/>
            <w:caps w:val="0"/>
            <w:sz w:val="21"/>
            <w:szCs w:val="22"/>
          </w:rPr>
          <w:tab/>
        </w:r>
        <w:r w:rsidR="00286323" w:rsidRPr="00387889">
          <w:rPr>
            <w:rStyle w:val="af2"/>
            <w:rFonts w:asciiTheme="minorEastAsia" w:hAnsiTheme="minorEastAsia" w:cs="Arial" w:hint="eastAsia"/>
          </w:rPr>
          <w:t>绪言</w:t>
        </w:r>
        <w:r w:rsidR="00286323">
          <w:rPr>
            <w:webHidden/>
          </w:rPr>
          <w:tab/>
        </w:r>
        <w:r w:rsidR="00286323">
          <w:rPr>
            <w:webHidden/>
          </w:rPr>
          <w:fldChar w:fldCharType="begin"/>
        </w:r>
        <w:r w:rsidR="00286323">
          <w:rPr>
            <w:webHidden/>
          </w:rPr>
          <w:instrText xml:space="preserve"> PAGEREF _Toc81922635 \h </w:instrText>
        </w:r>
        <w:r w:rsidR="00286323">
          <w:rPr>
            <w:webHidden/>
          </w:rPr>
        </w:r>
        <w:r w:rsidR="00286323">
          <w:rPr>
            <w:webHidden/>
          </w:rPr>
          <w:fldChar w:fldCharType="separate"/>
        </w:r>
        <w:r w:rsidR="00B62D8F">
          <w:rPr>
            <w:webHidden/>
          </w:rPr>
          <w:t>1</w:t>
        </w:r>
        <w:r w:rsidR="00286323">
          <w:rPr>
            <w:webHidden/>
          </w:rPr>
          <w:fldChar w:fldCharType="end"/>
        </w:r>
      </w:hyperlink>
    </w:p>
    <w:p w:rsidR="00286323" w:rsidRDefault="00FC5A24">
      <w:pPr>
        <w:pStyle w:val="10"/>
        <w:rPr>
          <w:rFonts w:asciiTheme="minorHAnsi" w:eastAsiaTheme="minorEastAsia" w:hAnsiTheme="minorHAnsi" w:cstheme="minorBidi"/>
          <w:b w:val="0"/>
          <w:caps w:val="0"/>
          <w:sz w:val="21"/>
          <w:szCs w:val="22"/>
        </w:rPr>
      </w:pPr>
      <w:hyperlink w:anchor="_Toc81922636" w:history="1">
        <w:r w:rsidR="00286323" w:rsidRPr="00387889">
          <w:rPr>
            <w:rStyle w:val="af2"/>
            <w:rFonts w:asciiTheme="minorEastAsia" w:hAnsiTheme="minorEastAsia" w:cs="Arial" w:hint="eastAsia"/>
          </w:rPr>
          <w:t>二、</w:t>
        </w:r>
        <w:r w:rsidR="00286323">
          <w:rPr>
            <w:rFonts w:asciiTheme="minorHAnsi" w:eastAsiaTheme="minorEastAsia" w:hAnsiTheme="minorHAnsi" w:cstheme="minorBidi"/>
            <w:b w:val="0"/>
            <w:caps w:val="0"/>
            <w:sz w:val="21"/>
            <w:szCs w:val="22"/>
          </w:rPr>
          <w:tab/>
        </w:r>
        <w:r w:rsidR="00286323" w:rsidRPr="00387889">
          <w:rPr>
            <w:rStyle w:val="af2"/>
            <w:rFonts w:asciiTheme="minorEastAsia" w:hAnsiTheme="minorEastAsia" w:cs="Arial" w:hint="eastAsia"/>
          </w:rPr>
          <w:t>释义</w:t>
        </w:r>
        <w:r w:rsidR="00286323">
          <w:rPr>
            <w:webHidden/>
          </w:rPr>
          <w:tab/>
        </w:r>
        <w:r w:rsidR="00286323">
          <w:rPr>
            <w:webHidden/>
          </w:rPr>
          <w:fldChar w:fldCharType="begin"/>
        </w:r>
        <w:r w:rsidR="00286323">
          <w:rPr>
            <w:webHidden/>
          </w:rPr>
          <w:instrText xml:space="preserve"> PAGEREF _Toc81922636 \h </w:instrText>
        </w:r>
        <w:r w:rsidR="00286323">
          <w:rPr>
            <w:webHidden/>
          </w:rPr>
        </w:r>
        <w:r w:rsidR="00286323">
          <w:rPr>
            <w:webHidden/>
          </w:rPr>
          <w:fldChar w:fldCharType="separate"/>
        </w:r>
        <w:r w:rsidR="00B62D8F">
          <w:rPr>
            <w:webHidden/>
          </w:rPr>
          <w:t>2</w:t>
        </w:r>
        <w:r w:rsidR="00286323">
          <w:rPr>
            <w:webHidden/>
          </w:rPr>
          <w:fldChar w:fldCharType="end"/>
        </w:r>
      </w:hyperlink>
    </w:p>
    <w:p w:rsidR="00286323" w:rsidRDefault="00FC5A24">
      <w:pPr>
        <w:pStyle w:val="10"/>
        <w:rPr>
          <w:rFonts w:asciiTheme="minorHAnsi" w:eastAsiaTheme="minorEastAsia" w:hAnsiTheme="minorHAnsi" w:cstheme="minorBidi"/>
          <w:b w:val="0"/>
          <w:caps w:val="0"/>
          <w:sz w:val="21"/>
          <w:szCs w:val="22"/>
        </w:rPr>
      </w:pPr>
      <w:hyperlink w:anchor="_Toc81922637" w:history="1">
        <w:r w:rsidR="00286323" w:rsidRPr="00387889">
          <w:rPr>
            <w:rStyle w:val="af2"/>
            <w:rFonts w:asciiTheme="minorEastAsia" w:hAnsiTheme="minorEastAsia" w:cs="Arial" w:hint="eastAsia"/>
            <w:bCs/>
          </w:rPr>
          <w:t>三、</w:t>
        </w:r>
        <w:r w:rsidR="00286323">
          <w:rPr>
            <w:rFonts w:asciiTheme="minorHAnsi" w:eastAsiaTheme="minorEastAsia" w:hAnsiTheme="minorHAnsi" w:cstheme="minorBidi"/>
            <w:b w:val="0"/>
            <w:caps w:val="0"/>
            <w:sz w:val="21"/>
            <w:szCs w:val="22"/>
          </w:rPr>
          <w:tab/>
        </w:r>
        <w:r w:rsidR="00286323" w:rsidRPr="00387889">
          <w:rPr>
            <w:rStyle w:val="af2"/>
            <w:rFonts w:asciiTheme="minorEastAsia" w:hAnsiTheme="minorEastAsia" w:cs="Arial" w:hint="eastAsia"/>
            <w:bCs/>
          </w:rPr>
          <w:t>基金管理人</w:t>
        </w:r>
        <w:r w:rsidR="00286323">
          <w:rPr>
            <w:webHidden/>
          </w:rPr>
          <w:tab/>
        </w:r>
        <w:r w:rsidR="00286323">
          <w:rPr>
            <w:webHidden/>
          </w:rPr>
          <w:fldChar w:fldCharType="begin"/>
        </w:r>
        <w:r w:rsidR="00286323">
          <w:rPr>
            <w:webHidden/>
          </w:rPr>
          <w:instrText xml:space="preserve"> PAGEREF _Toc81922637 \h </w:instrText>
        </w:r>
        <w:r w:rsidR="00286323">
          <w:rPr>
            <w:webHidden/>
          </w:rPr>
        </w:r>
        <w:r w:rsidR="00286323">
          <w:rPr>
            <w:webHidden/>
          </w:rPr>
          <w:fldChar w:fldCharType="separate"/>
        </w:r>
        <w:r w:rsidR="00B62D8F">
          <w:rPr>
            <w:webHidden/>
          </w:rPr>
          <w:t>6</w:t>
        </w:r>
        <w:r w:rsidR="00286323">
          <w:rPr>
            <w:webHidden/>
          </w:rPr>
          <w:fldChar w:fldCharType="end"/>
        </w:r>
      </w:hyperlink>
    </w:p>
    <w:p w:rsidR="00286323" w:rsidRDefault="00FC5A24">
      <w:pPr>
        <w:pStyle w:val="10"/>
        <w:rPr>
          <w:rFonts w:asciiTheme="minorHAnsi" w:eastAsiaTheme="minorEastAsia" w:hAnsiTheme="minorHAnsi" w:cstheme="minorBidi"/>
          <w:b w:val="0"/>
          <w:caps w:val="0"/>
          <w:sz w:val="21"/>
          <w:szCs w:val="22"/>
        </w:rPr>
      </w:pPr>
      <w:hyperlink w:anchor="_Toc81922638" w:history="1">
        <w:r w:rsidR="00286323" w:rsidRPr="00387889">
          <w:rPr>
            <w:rStyle w:val="af2"/>
            <w:rFonts w:asciiTheme="minorEastAsia" w:hAnsiTheme="minorEastAsia" w:cs="Arial" w:hint="eastAsia"/>
            <w:bCs/>
          </w:rPr>
          <w:t>四、</w:t>
        </w:r>
        <w:r w:rsidR="00286323">
          <w:rPr>
            <w:rFonts w:asciiTheme="minorHAnsi" w:eastAsiaTheme="minorEastAsia" w:hAnsiTheme="minorHAnsi" w:cstheme="minorBidi"/>
            <w:b w:val="0"/>
            <w:caps w:val="0"/>
            <w:sz w:val="21"/>
            <w:szCs w:val="22"/>
          </w:rPr>
          <w:tab/>
        </w:r>
        <w:r w:rsidR="00286323" w:rsidRPr="00387889">
          <w:rPr>
            <w:rStyle w:val="af2"/>
            <w:rFonts w:asciiTheme="minorEastAsia" w:hAnsiTheme="minorEastAsia" w:cs="Arial" w:hint="eastAsia"/>
            <w:bCs/>
          </w:rPr>
          <w:t>基金托管人</w:t>
        </w:r>
        <w:r w:rsidR="00286323">
          <w:rPr>
            <w:webHidden/>
          </w:rPr>
          <w:tab/>
        </w:r>
        <w:r w:rsidR="00286323">
          <w:rPr>
            <w:webHidden/>
          </w:rPr>
          <w:fldChar w:fldCharType="begin"/>
        </w:r>
        <w:r w:rsidR="00286323">
          <w:rPr>
            <w:webHidden/>
          </w:rPr>
          <w:instrText xml:space="preserve"> PAGEREF _Toc81922638 \h </w:instrText>
        </w:r>
        <w:r w:rsidR="00286323">
          <w:rPr>
            <w:webHidden/>
          </w:rPr>
        </w:r>
        <w:r w:rsidR="00286323">
          <w:rPr>
            <w:webHidden/>
          </w:rPr>
          <w:fldChar w:fldCharType="separate"/>
        </w:r>
        <w:r w:rsidR="00B62D8F">
          <w:rPr>
            <w:webHidden/>
          </w:rPr>
          <w:t>18</w:t>
        </w:r>
        <w:r w:rsidR="00286323">
          <w:rPr>
            <w:webHidden/>
          </w:rPr>
          <w:fldChar w:fldCharType="end"/>
        </w:r>
      </w:hyperlink>
    </w:p>
    <w:p w:rsidR="00286323" w:rsidRDefault="00FC5A24">
      <w:pPr>
        <w:pStyle w:val="10"/>
        <w:rPr>
          <w:rFonts w:asciiTheme="minorHAnsi" w:eastAsiaTheme="minorEastAsia" w:hAnsiTheme="minorHAnsi" w:cstheme="minorBidi"/>
          <w:b w:val="0"/>
          <w:caps w:val="0"/>
          <w:sz w:val="21"/>
          <w:szCs w:val="22"/>
        </w:rPr>
      </w:pPr>
      <w:hyperlink w:anchor="_Toc81922639" w:history="1">
        <w:r w:rsidR="00286323" w:rsidRPr="00387889">
          <w:rPr>
            <w:rStyle w:val="af2"/>
            <w:rFonts w:asciiTheme="minorEastAsia" w:hAnsiTheme="minorEastAsia" w:cs="Arial" w:hint="eastAsia"/>
            <w:bCs/>
          </w:rPr>
          <w:t>五、</w:t>
        </w:r>
        <w:r w:rsidR="00286323">
          <w:rPr>
            <w:rFonts w:asciiTheme="minorHAnsi" w:eastAsiaTheme="minorEastAsia" w:hAnsiTheme="minorHAnsi" w:cstheme="minorBidi"/>
            <w:b w:val="0"/>
            <w:caps w:val="0"/>
            <w:sz w:val="21"/>
            <w:szCs w:val="22"/>
          </w:rPr>
          <w:tab/>
        </w:r>
        <w:r w:rsidR="00286323" w:rsidRPr="00387889">
          <w:rPr>
            <w:rStyle w:val="af2"/>
            <w:rFonts w:asciiTheme="minorEastAsia" w:hAnsiTheme="minorEastAsia" w:cs="Arial" w:hint="eastAsia"/>
            <w:bCs/>
          </w:rPr>
          <w:t>相关服务机构</w:t>
        </w:r>
        <w:r w:rsidR="00286323">
          <w:rPr>
            <w:webHidden/>
          </w:rPr>
          <w:tab/>
        </w:r>
        <w:r w:rsidR="00286323">
          <w:rPr>
            <w:webHidden/>
          </w:rPr>
          <w:fldChar w:fldCharType="begin"/>
        </w:r>
        <w:r w:rsidR="00286323">
          <w:rPr>
            <w:webHidden/>
          </w:rPr>
          <w:instrText xml:space="preserve"> PAGEREF _Toc81922639 \h </w:instrText>
        </w:r>
        <w:r w:rsidR="00286323">
          <w:rPr>
            <w:webHidden/>
          </w:rPr>
        </w:r>
        <w:r w:rsidR="00286323">
          <w:rPr>
            <w:webHidden/>
          </w:rPr>
          <w:fldChar w:fldCharType="separate"/>
        </w:r>
        <w:r w:rsidR="00B62D8F">
          <w:rPr>
            <w:webHidden/>
          </w:rPr>
          <w:t>21</w:t>
        </w:r>
        <w:r w:rsidR="00286323">
          <w:rPr>
            <w:webHidden/>
          </w:rPr>
          <w:fldChar w:fldCharType="end"/>
        </w:r>
      </w:hyperlink>
    </w:p>
    <w:p w:rsidR="00286323" w:rsidRDefault="00FC5A24">
      <w:pPr>
        <w:pStyle w:val="10"/>
        <w:rPr>
          <w:rFonts w:asciiTheme="minorHAnsi" w:eastAsiaTheme="minorEastAsia" w:hAnsiTheme="minorHAnsi" w:cstheme="minorBidi"/>
          <w:b w:val="0"/>
          <w:caps w:val="0"/>
          <w:sz w:val="21"/>
          <w:szCs w:val="22"/>
        </w:rPr>
      </w:pPr>
      <w:hyperlink w:anchor="_Toc81922640" w:history="1">
        <w:r w:rsidR="00286323" w:rsidRPr="00387889">
          <w:rPr>
            <w:rStyle w:val="af2"/>
            <w:rFonts w:asciiTheme="minorEastAsia" w:hAnsiTheme="minorEastAsia" w:cs="Arial" w:hint="eastAsia"/>
            <w:bCs/>
          </w:rPr>
          <w:t>六、</w:t>
        </w:r>
        <w:r w:rsidR="00286323">
          <w:rPr>
            <w:rFonts w:asciiTheme="minorHAnsi" w:eastAsiaTheme="minorEastAsia" w:hAnsiTheme="minorHAnsi" w:cstheme="minorBidi"/>
            <w:b w:val="0"/>
            <w:caps w:val="0"/>
            <w:sz w:val="21"/>
            <w:szCs w:val="22"/>
          </w:rPr>
          <w:tab/>
        </w:r>
        <w:r w:rsidR="00286323" w:rsidRPr="00387889">
          <w:rPr>
            <w:rStyle w:val="af2"/>
            <w:rFonts w:asciiTheme="minorEastAsia" w:hAnsiTheme="minorEastAsia" w:cs="Arial" w:hint="eastAsia"/>
            <w:bCs/>
          </w:rPr>
          <w:t>基金的历史沿革</w:t>
        </w:r>
        <w:r w:rsidR="00286323">
          <w:rPr>
            <w:webHidden/>
          </w:rPr>
          <w:tab/>
        </w:r>
        <w:r w:rsidR="00286323">
          <w:rPr>
            <w:webHidden/>
          </w:rPr>
          <w:fldChar w:fldCharType="begin"/>
        </w:r>
        <w:r w:rsidR="00286323">
          <w:rPr>
            <w:webHidden/>
          </w:rPr>
          <w:instrText xml:space="preserve"> PAGEREF _Toc81922640 \h </w:instrText>
        </w:r>
        <w:r w:rsidR="00286323">
          <w:rPr>
            <w:webHidden/>
          </w:rPr>
        </w:r>
        <w:r w:rsidR="00286323">
          <w:rPr>
            <w:webHidden/>
          </w:rPr>
          <w:fldChar w:fldCharType="separate"/>
        </w:r>
        <w:r w:rsidR="00B62D8F">
          <w:rPr>
            <w:webHidden/>
          </w:rPr>
          <w:t>84</w:t>
        </w:r>
        <w:r w:rsidR="00286323">
          <w:rPr>
            <w:webHidden/>
          </w:rPr>
          <w:fldChar w:fldCharType="end"/>
        </w:r>
      </w:hyperlink>
    </w:p>
    <w:p w:rsidR="00286323" w:rsidRDefault="00FC5A24">
      <w:pPr>
        <w:pStyle w:val="10"/>
        <w:rPr>
          <w:rFonts w:asciiTheme="minorHAnsi" w:eastAsiaTheme="minorEastAsia" w:hAnsiTheme="minorHAnsi" w:cstheme="minorBidi"/>
          <w:b w:val="0"/>
          <w:caps w:val="0"/>
          <w:sz w:val="21"/>
          <w:szCs w:val="22"/>
        </w:rPr>
      </w:pPr>
      <w:hyperlink w:anchor="_Toc81922641" w:history="1">
        <w:r w:rsidR="00286323" w:rsidRPr="00387889">
          <w:rPr>
            <w:rStyle w:val="af2"/>
            <w:rFonts w:asciiTheme="minorEastAsia" w:hAnsiTheme="minorEastAsia" w:cs="Arial" w:hint="eastAsia"/>
            <w:bCs/>
          </w:rPr>
          <w:t>七、</w:t>
        </w:r>
        <w:r w:rsidR="00286323">
          <w:rPr>
            <w:rFonts w:asciiTheme="minorHAnsi" w:eastAsiaTheme="minorEastAsia" w:hAnsiTheme="minorHAnsi" w:cstheme="minorBidi"/>
            <w:b w:val="0"/>
            <w:caps w:val="0"/>
            <w:sz w:val="21"/>
            <w:szCs w:val="22"/>
          </w:rPr>
          <w:tab/>
        </w:r>
        <w:r w:rsidR="00286323" w:rsidRPr="00387889">
          <w:rPr>
            <w:rStyle w:val="af2"/>
            <w:rFonts w:asciiTheme="minorEastAsia" w:hAnsiTheme="minorEastAsia" w:cs="Arial" w:hint="eastAsia"/>
            <w:bCs/>
          </w:rPr>
          <w:t>基金的存续</w:t>
        </w:r>
        <w:r w:rsidR="00286323">
          <w:rPr>
            <w:webHidden/>
          </w:rPr>
          <w:tab/>
        </w:r>
        <w:r w:rsidR="00286323">
          <w:rPr>
            <w:webHidden/>
          </w:rPr>
          <w:fldChar w:fldCharType="begin"/>
        </w:r>
        <w:r w:rsidR="00286323">
          <w:rPr>
            <w:webHidden/>
          </w:rPr>
          <w:instrText xml:space="preserve"> PAGEREF _Toc81922641 \h </w:instrText>
        </w:r>
        <w:r w:rsidR="00286323">
          <w:rPr>
            <w:webHidden/>
          </w:rPr>
        </w:r>
        <w:r w:rsidR="00286323">
          <w:rPr>
            <w:webHidden/>
          </w:rPr>
          <w:fldChar w:fldCharType="separate"/>
        </w:r>
        <w:r w:rsidR="00B62D8F">
          <w:rPr>
            <w:webHidden/>
          </w:rPr>
          <w:t>85</w:t>
        </w:r>
        <w:r w:rsidR="00286323">
          <w:rPr>
            <w:webHidden/>
          </w:rPr>
          <w:fldChar w:fldCharType="end"/>
        </w:r>
      </w:hyperlink>
    </w:p>
    <w:p w:rsidR="00286323" w:rsidRDefault="00FC5A24">
      <w:pPr>
        <w:pStyle w:val="10"/>
        <w:rPr>
          <w:rFonts w:asciiTheme="minorHAnsi" w:eastAsiaTheme="minorEastAsia" w:hAnsiTheme="minorHAnsi" w:cstheme="minorBidi"/>
          <w:b w:val="0"/>
          <w:caps w:val="0"/>
          <w:sz w:val="21"/>
          <w:szCs w:val="22"/>
        </w:rPr>
      </w:pPr>
      <w:hyperlink w:anchor="_Toc81922642" w:history="1">
        <w:r w:rsidR="00286323" w:rsidRPr="00387889">
          <w:rPr>
            <w:rStyle w:val="af2"/>
            <w:rFonts w:asciiTheme="minorEastAsia" w:hAnsiTheme="minorEastAsia" w:cs="Arial" w:hint="eastAsia"/>
            <w:bCs/>
          </w:rPr>
          <w:t>八、</w:t>
        </w:r>
        <w:r w:rsidR="00286323">
          <w:rPr>
            <w:rFonts w:asciiTheme="minorHAnsi" w:eastAsiaTheme="minorEastAsia" w:hAnsiTheme="minorHAnsi" w:cstheme="minorBidi"/>
            <w:b w:val="0"/>
            <w:caps w:val="0"/>
            <w:sz w:val="21"/>
            <w:szCs w:val="22"/>
          </w:rPr>
          <w:tab/>
        </w:r>
        <w:r w:rsidR="00286323" w:rsidRPr="00387889">
          <w:rPr>
            <w:rStyle w:val="af2"/>
            <w:rFonts w:asciiTheme="minorEastAsia" w:hAnsiTheme="minorEastAsia" w:cs="Arial" w:hint="eastAsia"/>
            <w:bCs/>
          </w:rPr>
          <w:t>基金份额的申购、赎回</w:t>
        </w:r>
        <w:r w:rsidR="00286323">
          <w:rPr>
            <w:webHidden/>
          </w:rPr>
          <w:tab/>
        </w:r>
        <w:r w:rsidR="00286323">
          <w:rPr>
            <w:webHidden/>
          </w:rPr>
          <w:fldChar w:fldCharType="begin"/>
        </w:r>
        <w:r w:rsidR="00286323">
          <w:rPr>
            <w:webHidden/>
          </w:rPr>
          <w:instrText xml:space="preserve"> PAGEREF _Toc81922642 \h </w:instrText>
        </w:r>
        <w:r w:rsidR="00286323">
          <w:rPr>
            <w:webHidden/>
          </w:rPr>
        </w:r>
        <w:r w:rsidR="00286323">
          <w:rPr>
            <w:webHidden/>
          </w:rPr>
          <w:fldChar w:fldCharType="separate"/>
        </w:r>
        <w:r w:rsidR="00B62D8F">
          <w:rPr>
            <w:webHidden/>
          </w:rPr>
          <w:t>86</w:t>
        </w:r>
        <w:r w:rsidR="00286323">
          <w:rPr>
            <w:webHidden/>
          </w:rPr>
          <w:fldChar w:fldCharType="end"/>
        </w:r>
      </w:hyperlink>
    </w:p>
    <w:p w:rsidR="00286323" w:rsidRDefault="00FC5A24">
      <w:pPr>
        <w:pStyle w:val="10"/>
        <w:rPr>
          <w:rFonts w:asciiTheme="minorHAnsi" w:eastAsiaTheme="minorEastAsia" w:hAnsiTheme="minorHAnsi" w:cstheme="minorBidi"/>
          <w:b w:val="0"/>
          <w:caps w:val="0"/>
          <w:sz w:val="21"/>
          <w:szCs w:val="22"/>
        </w:rPr>
      </w:pPr>
      <w:hyperlink w:anchor="_Toc81922643" w:history="1">
        <w:r w:rsidR="00286323" w:rsidRPr="00387889">
          <w:rPr>
            <w:rStyle w:val="af2"/>
            <w:rFonts w:asciiTheme="minorEastAsia" w:hAnsiTheme="minorEastAsia" w:cs="Arial" w:hint="eastAsia"/>
          </w:rPr>
          <w:t>九、</w:t>
        </w:r>
        <w:r w:rsidR="00286323">
          <w:rPr>
            <w:rFonts w:asciiTheme="minorHAnsi" w:eastAsiaTheme="minorEastAsia" w:hAnsiTheme="minorHAnsi" w:cstheme="minorBidi"/>
            <w:b w:val="0"/>
            <w:caps w:val="0"/>
            <w:sz w:val="21"/>
            <w:szCs w:val="22"/>
          </w:rPr>
          <w:tab/>
        </w:r>
        <w:r w:rsidR="00286323" w:rsidRPr="00387889">
          <w:rPr>
            <w:rStyle w:val="af2"/>
            <w:rFonts w:asciiTheme="minorEastAsia" w:hAnsiTheme="minorEastAsia" w:cs="Arial" w:hint="eastAsia"/>
          </w:rPr>
          <w:t>基金转换</w:t>
        </w:r>
        <w:r w:rsidR="00286323">
          <w:rPr>
            <w:webHidden/>
          </w:rPr>
          <w:tab/>
        </w:r>
        <w:r w:rsidR="00286323">
          <w:rPr>
            <w:webHidden/>
          </w:rPr>
          <w:fldChar w:fldCharType="begin"/>
        </w:r>
        <w:r w:rsidR="00286323">
          <w:rPr>
            <w:webHidden/>
          </w:rPr>
          <w:instrText xml:space="preserve"> PAGEREF _Toc81922643 \h </w:instrText>
        </w:r>
        <w:r w:rsidR="00286323">
          <w:rPr>
            <w:webHidden/>
          </w:rPr>
        </w:r>
        <w:r w:rsidR="00286323">
          <w:rPr>
            <w:webHidden/>
          </w:rPr>
          <w:fldChar w:fldCharType="separate"/>
        </w:r>
        <w:r w:rsidR="00B62D8F">
          <w:rPr>
            <w:webHidden/>
          </w:rPr>
          <w:t>94</w:t>
        </w:r>
        <w:r w:rsidR="00286323">
          <w:rPr>
            <w:webHidden/>
          </w:rPr>
          <w:fldChar w:fldCharType="end"/>
        </w:r>
      </w:hyperlink>
    </w:p>
    <w:p w:rsidR="00286323" w:rsidRDefault="00FC5A24">
      <w:pPr>
        <w:pStyle w:val="10"/>
        <w:rPr>
          <w:rFonts w:asciiTheme="minorHAnsi" w:eastAsiaTheme="minorEastAsia" w:hAnsiTheme="minorHAnsi" w:cstheme="minorBidi"/>
          <w:b w:val="0"/>
          <w:caps w:val="0"/>
          <w:sz w:val="21"/>
          <w:szCs w:val="22"/>
        </w:rPr>
      </w:pPr>
      <w:hyperlink w:anchor="_Toc81922644" w:history="1">
        <w:r w:rsidR="00286323" w:rsidRPr="00387889">
          <w:rPr>
            <w:rStyle w:val="af2"/>
            <w:rFonts w:asciiTheme="minorEastAsia" w:hAnsiTheme="minorEastAsia" w:cs="Arial" w:hint="eastAsia"/>
            <w:bCs/>
          </w:rPr>
          <w:t>十、</w:t>
        </w:r>
        <w:r w:rsidR="00286323">
          <w:rPr>
            <w:rFonts w:asciiTheme="minorHAnsi" w:eastAsiaTheme="minorEastAsia" w:hAnsiTheme="minorHAnsi" w:cstheme="minorBidi"/>
            <w:b w:val="0"/>
            <w:caps w:val="0"/>
            <w:sz w:val="21"/>
            <w:szCs w:val="22"/>
          </w:rPr>
          <w:tab/>
        </w:r>
        <w:r w:rsidR="00286323" w:rsidRPr="00387889">
          <w:rPr>
            <w:rStyle w:val="af2"/>
            <w:rFonts w:asciiTheme="minorEastAsia" w:hAnsiTheme="minorEastAsia" w:cs="Arial" w:hint="eastAsia"/>
          </w:rPr>
          <w:t>基金的非交易过户、转托管及</w:t>
        </w:r>
        <w:r w:rsidR="00286323" w:rsidRPr="00387889">
          <w:rPr>
            <w:rStyle w:val="af2"/>
            <w:rFonts w:asciiTheme="minorEastAsia" w:hAnsiTheme="minorEastAsia" w:cs="Arial" w:hint="eastAsia"/>
            <w:bCs/>
          </w:rPr>
          <w:t>冻结与解冻</w:t>
        </w:r>
        <w:r w:rsidR="00286323">
          <w:rPr>
            <w:webHidden/>
          </w:rPr>
          <w:tab/>
        </w:r>
        <w:r w:rsidR="00286323">
          <w:rPr>
            <w:webHidden/>
          </w:rPr>
          <w:fldChar w:fldCharType="begin"/>
        </w:r>
        <w:r w:rsidR="00286323">
          <w:rPr>
            <w:webHidden/>
          </w:rPr>
          <w:instrText xml:space="preserve"> PAGEREF _Toc81922644 \h </w:instrText>
        </w:r>
        <w:r w:rsidR="00286323">
          <w:rPr>
            <w:webHidden/>
          </w:rPr>
        </w:r>
        <w:r w:rsidR="00286323">
          <w:rPr>
            <w:webHidden/>
          </w:rPr>
          <w:fldChar w:fldCharType="separate"/>
        </w:r>
        <w:r w:rsidR="00B62D8F">
          <w:rPr>
            <w:webHidden/>
          </w:rPr>
          <w:t>99</w:t>
        </w:r>
        <w:r w:rsidR="00286323">
          <w:rPr>
            <w:webHidden/>
          </w:rPr>
          <w:fldChar w:fldCharType="end"/>
        </w:r>
      </w:hyperlink>
    </w:p>
    <w:p w:rsidR="00286323" w:rsidRDefault="00FC5A24">
      <w:pPr>
        <w:pStyle w:val="10"/>
        <w:rPr>
          <w:rFonts w:asciiTheme="minorHAnsi" w:eastAsiaTheme="minorEastAsia" w:hAnsiTheme="minorHAnsi" w:cstheme="minorBidi"/>
          <w:b w:val="0"/>
          <w:caps w:val="0"/>
          <w:sz w:val="21"/>
          <w:szCs w:val="22"/>
        </w:rPr>
      </w:pPr>
      <w:hyperlink w:anchor="_Toc81922645" w:history="1">
        <w:r w:rsidR="00286323" w:rsidRPr="00387889">
          <w:rPr>
            <w:rStyle w:val="af2"/>
            <w:rFonts w:asciiTheme="minorEastAsia" w:hAnsiTheme="minorEastAsia" w:cs="Arial" w:hint="eastAsia"/>
          </w:rPr>
          <w:t>十一、</w:t>
        </w:r>
        <w:r w:rsidR="00286323">
          <w:rPr>
            <w:rFonts w:asciiTheme="minorHAnsi" w:eastAsiaTheme="minorEastAsia" w:hAnsiTheme="minorHAnsi" w:cstheme="minorBidi"/>
            <w:b w:val="0"/>
            <w:caps w:val="0"/>
            <w:sz w:val="21"/>
            <w:szCs w:val="22"/>
          </w:rPr>
          <w:tab/>
        </w:r>
        <w:r w:rsidR="00286323" w:rsidRPr="00387889">
          <w:rPr>
            <w:rStyle w:val="af2"/>
            <w:rFonts w:asciiTheme="minorEastAsia" w:hAnsiTheme="minorEastAsia" w:cs="Arial" w:hint="eastAsia"/>
            <w:bCs/>
          </w:rPr>
          <w:t>基金的投资</w:t>
        </w:r>
        <w:r w:rsidR="00286323">
          <w:rPr>
            <w:webHidden/>
          </w:rPr>
          <w:tab/>
        </w:r>
        <w:r w:rsidR="00286323">
          <w:rPr>
            <w:webHidden/>
          </w:rPr>
          <w:fldChar w:fldCharType="begin"/>
        </w:r>
        <w:r w:rsidR="00286323">
          <w:rPr>
            <w:webHidden/>
          </w:rPr>
          <w:instrText xml:space="preserve"> PAGEREF _Toc81922645 \h </w:instrText>
        </w:r>
        <w:r w:rsidR="00286323">
          <w:rPr>
            <w:webHidden/>
          </w:rPr>
        </w:r>
        <w:r w:rsidR="00286323">
          <w:rPr>
            <w:webHidden/>
          </w:rPr>
          <w:fldChar w:fldCharType="separate"/>
        </w:r>
        <w:r w:rsidR="00B62D8F">
          <w:rPr>
            <w:webHidden/>
          </w:rPr>
          <w:t>100</w:t>
        </w:r>
        <w:r w:rsidR="00286323">
          <w:rPr>
            <w:webHidden/>
          </w:rPr>
          <w:fldChar w:fldCharType="end"/>
        </w:r>
      </w:hyperlink>
    </w:p>
    <w:p w:rsidR="00286323" w:rsidRDefault="00FC5A24">
      <w:pPr>
        <w:pStyle w:val="10"/>
        <w:rPr>
          <w:rFonts w:asciiTheme="minorHAnsi" w:eastAsiaTheme="minorEastAsia" w:hAnsiTheme="minorHAnsi" w:cstheme="minorBidi"/>
          <w:b w:val="0"/>
          <w:caps w:val="0"/>
          <w:sz w:val="21"/>
          <w:szCs w:val="22"/>
        </w:rPr>
      </w:pPr>
      <w:hyperlink w:anchor="_Toc81922646" w:history="1">
        <w:r w:rsidR="00286323" w:rsidRPr="00387889">
          <w:rPr>
            <w:rStyle w:val="af2"/>
            <w:rFonts w:asciiTheme="minorEastAsia" w:hAnsiTheme="minorEastAsia" w:cs="Arial" w:hint="eastAsia"/>
            <w:bCs/>
          </w:rPr>
          <w:t>十二、</w:t>
        </w:r>
        <w:r w:rsidR="00286323">
          <w:rPr>
            <w:rFonts w:asciiTheme="minorHAnsi" w:eastAsiaTheme="minorEastAsia" w:hAnsiTheme="minorHAnsi" w:cstheme="minorBidi"/>
            <w:b w:val="0"/>
            <w:caps w:val="0"/>
            <w:sz w:val="21"/>
            <w:szCs w:val="22"/>
          </w:rPr>
          <w:tab/>
        </w:r>
        <w:r w:rsidR="00286323" w:rsidRPr="00387889">
          <w:rPr>
            <w:rStyle w:val="af2"/>
            <w:rFonts w:asciiTheme="minorEastAsia" w:hAnsiTheme="minorEastAsia" w:cs="Arial" w:hint="eastAsia"/>
            <w:bCs/>
          </w:rPr>
          <w:t>基金的业绩</w:t>
        </w:r>
        <w:r w:rsidR="00286323">
          <w:rPr>
            <w:webHidden/>
          </w:rPr>
          <w:tab/>
        </w:r>
        <w:r w:rsidR="00286323">
          <w:rPr>
            <w:webHidden/>
          </w:rPr>
          <w:fldChar w:fldCharType="begin"/>
        </w:r>
        <w:r w:rsidR="00286323">
          <w:rPr>
            <w:webHidden/>
          </w:rPr>
          <w:instrText xml:space="preserve"> PAGEREF _Toc81922646 \h </w:instrText>
        </w:r>
        <w:r w:rsidR="00286323">
          <w:rPr>
            <w:webHidden/>
          </w:rPr>
        </w:r>
        <w:r w:rsidR="00286323">
          <w:rPr>
            <w:webHidden/>
          </w:rPr>
          <w:fldChar w:fldCharType="separate"/>
        </w:r>
        <w:r w:rsidR="00B62D8F">
          <w:rPr>
            <w:webHidden/>
          </w:rPr>
          <w:t>112</w:t>
        </w:r>
        <w:r w:rsidR="00286323">
          <w:rPr>
            <w:webHidden/>
          </w:rPr>
          <w:fldChar w:fldCharType="end"/>
        </w:r>
      </w:hyperlink>
    </w:p>
    <w:p w:rsidR="00286323" w:rsidRDefault="00FC5A24">
      <w:pPr>
        <w:pStyle w:val="10"/>
        <w:rPr>
          <w:rFonts w:asciiTheme="minorHAnsi" w:eastAsiaTheme="minorEastAsia" w:hAnsiTheme="minorHAnsi" w:cstheme="minorBidi"/>
          <w:b w:val="0"/>
          <w:caps w:val="0"/>
          <w:sz w:val="21"/>
          <w:szCs w:val="22"/>
        </w:rPr>
      </w:pPr>
      <w:hyperlink w:anchor="_Toc81922647" w:history="1">
        <w:r w:rsidR="00286323" w:rsidRPr="00387889">
          <w:rPr>
            <w:rStyle w:val="af2"/>
            <w:rFonts w:asciiTheme="minorEastAsia" w:hAnsiTheme="minorEastAsia" w:cs="Arial" w:hint="eastAsia"/>
            <w:bCs/>
          </w:rPr>
          <w:t>十三、</w:t>
        </w:r>
        <w:r w:rsidR="00286323">
          <w:rPr>
            <w:rFonts w:asciiTheme="minorHAnsi" w:eastAsiaTheme="minorEastAsia" w:hAnsiTheme="minorHAnsi" w:cstheme="minorBidi"/>
            <w:b w:val="0"/>
            <w:caps w:val="0"/>
            <w:sz w:val="21"/>
            <w:szCs w:val="22"/>
          </w:rPr>
          <w:tab/>
        </w:r>
        <w:r w:rsidR="00286323" w:rsidRPr="00387889">
          <w:rPr>
            <w:rStyle w:val="af2"/>
            <w:rFonts w:asciiTheme="minorEastAsia" w:hAnsiTheme="minorEastAsia" w:cs="Arial" w:hint="eastAsia"/>
            <w:bCs/>
          </w:rPr>
          <w:t>基金的财产</w:t>
        </w:r>
        <w:r w:rsidR="00286323">
          <w:rPr>
            <w:webHidden/>
          </w:rPr>
          <w:tab/>
        </w:r>
        <w:r w:rsidR="00286323">
          <w:rPr>
            <w:webHidden/>
          </w:rPr>
          <w:fldChar w:fldCharType="begin"/>
        </w:r>
        <w:r w:rsidR="00286323">
          <w:rPr>
            <w:webHidden/>
          </w:rPr>
          <w:instrText xml:space="preserve"> PAGEREF _Toc81922647 \h </w:instrText>
        </w:r>
        <w:r w:rsidR="00286323">
          <w:rPr>
            <w:webHidden/>
          </w:rPr>
        </w:r>
        <w:r w:rsidR="00286323">
          <w:rPr>
            <w:webHidden/>
          </w:rPr>
          <w:fldChar w:fldCharType="separate"/>
        </w:r>
        <w:r w:rsidR="00B62D8F">
          <w:rPr>
            <w:webHidden/>
          </w:rPr>
          <w:t>114</w:t>
        </w:r>
        <w:r w:rsidR="00286323">
          <w:rPr>
            <w:webHidden/>
          </w:rPr>
          <w:fldChar w:fldCharType="end"/>
        </w:r>
      </w:hyperlink>
    </w:p>
    <w:p w:rsidR="00286323" w:rsidRDefault="00FC5A24">
      <w:pPr>
        <w:pStyle w:val="10"/>
        <w:rPr>
          <w:rFonts w:asciiTheme="minorHAnsi" w:eastAsiaTheme="minorEastAsia" w:hAnsiTheme="minorHAnsi" w:cstheme="minorBidi"/>
          <w:b w:val="0"/>
          <w:caps w:val="0"/>
          <w:sz w:val="21"/>
          <w:szCs w:val="22"/>
        </w:rPr>
      </w:pPr>
      <w:hyperlink w:anchor="_Toc81922648" w:history="1">
        <w:r w:rsidR="00286323" w:rsidRPr="00387889">
          <w:rPr>
            <w:rStyle w:val="af2"/>
            <w:rFonts w:asciiTheme="minorEastAsia" w:hAnsiTheme="minorEastAsia" w:cs="Arial" w:hint="eastAsia"/>
            <w:bCs/>
          </w:rPr>
          <w:t>十四、</w:t>
        </w:r>
        <w:r w:rsidR="00286323">
          <w:rPr>
            <w:rFonts w:asciiTheme="minorHAnsi" w:eastAsiaTheme="minorEastAsia" w:hAnsiTheme="minorHAnsi" w:cstheme="minorBidi"/>
            <w:b w:val="0"/>
            <w:caps w:val="0"/>
            <w:sz w:val="21"/>
            <w:szCs w:val="22"/>
          </w:rPr>
          <w:tab/>
        </w:r>
        <w:r w:rsidR="00286323" w:rsidRPr="00387889">
          <w:rPr>
            <w:rStyle w:val="af2"/>
            <w:rFonts w:asciiTheme="minorEastAsia" w:hAnsiTheme="minorEastAsia" w:cs="Arial" w:hint="eastAsia"/>
            <w:bCs/>
          </w:rPr>
          <w:t>基金资产估值</w:t>
        </w:r>
        <w:r w:rsidR="00286323">
          <w:rPr>
            <w:webHidden/>
          </w:rPr>
          <w:tab/>
        </w:r>
        <w:r w:rsidR="00286323">
          <w:rPr>
            <w:webHidden/>
          </w:rPr>
          <w:fldChar w:fldCharType="begin"/>
        </w:r>
        <w:r w:rsidR="00286323">
          <w:rPr>
            <w:webHidden/>
          </w:rPr>
          <w:instrText xml:space="preserve"> PAGEREF _Toc81922648 \h </w:instrText>
        </w:r>
        <w:r w:rsidR="00286323">
          <w:rPr>
            <w:webHidden/>
          </w:rPr>
        </w:r>
        <w:r w:rsidR="00286323">
          <w:rPr>
            <w:webHidden/>
          </w:rPr>
          <w:fldChar w:fldCharType="separate"/>
        </w:r>
        <w:r w:rsidR="00B62D8F">
          <w:rPr>
            <w:webHidden/>
          </w:rPr>
          <w:t>115</w:t>
        </w:r>
        <w:r w:rsidR="00286323">
          <w:rPr>
            <w:webHidden/>
          </w:rPr>
          <w:fldChar w:fldCharType="end"/>
        </w:r>
      </w:hyperlink>
    </w:p>
    <w:p w:rsidR="00286323" w:rsidRDefault="00FC5A24">
      <w:pPr>
        <w:pStyle w:val="10"/>
        <w:rPr>
          <w:rFonts w:asciiTheme="minorHAnsi" w:eastAsiaTheme="minorEastAsia" w:hAnsiTheme="minorHAnsi" w:cstheme="minorBidi"/>
          <w:b w:val="0"/>
          <w:caps w:val="0"/>
          <w:sz w:val="21"/>
          <w:szCs w:val="22"/>
        </w:rPr>
      </w:pPr>
      <w:hyperlink w:anchor="_Toc81922649" w:history="1">
        <w:r w:rsidR="00286323" w:rsidRPr="00387889">
          <w:rPr>
            <w:rStyle w:val="af2"/>
            <w:rFonts w:asciiTheme="minorEastAsia" w:hAnsiTheme="minorEastAsia" w:cs="Arial" w:hint="eastAsia"/>
            <w:bCs/>
          </w:rPr>
          <w:t>十五、</w:t>
        </w:r>
        <w:r w:rsidR="00286323">
          <w:rPr>
            <w:rFonts w:asciiTheme="minorHAnsi" w:eastAsiaTheme="minorEastAsia" w:hAnsiTheme="minorHAnsi" w:cstheme="minorBidi"/>
            <w:b w:val="0"/>
            <w:caps w:val="0"/>
            <w:sz w:val="21"/>
            <w:szCs w:val="22"/>
          </w:rPr>
          <w:tab/>
        </w:r>
        <w:r w:rsidR="00286323" w:rsidRPr="00387889">
          <w:rPr>
            <w:rStyle w:val="af2"/>
            <w:rFonts w:asciiTheme="minorEastAsia" w:hAnsiTheme="minorEastAsia" w:cs="Arial" w:hint="eastAsia"/>
            <w:bCs/>
          </w:rPr>
          <w:t>基金的收益与分配</w:t>
        </w:r>
        <w:r w:rsidR="00286323">
          <w:rPr>
            <w:webHidden/>
          </w:rPr>
          <w:tab/>
        </w:r>
        <w:r w:rsidR="00286323">
          <w:rPr>
            <w:webHidden/>
          </w:rPr>
          <w:fldChar w:fldCharType="begin"/>
        </w:r>
        <w:r w:rsidR="00286323">
          <w:rPr>
            <w:webHidden/>
          </w:rPr>
          <w:instrText xml:space="preserve"> PAGEREF _Toc81922649 \h </w:instrText>
        </w:r>
        <w:r w:rsidR="00286323">
          <w:rPr>
            <w:webHidden/>
          </w:rPr>
        </w:r>
        <w:r w:rsidR="00286323">
          <w:rPr>
            <w:webHidden/>
          </w:rPr>
          <w:fldChar w:fldCharType="separate"/>
        </w:r>
        <w:r w:rsidR="00B62D8F">
          <w:rPr>
            <w:webHidden/>
          </w:rPr>
          <w:t>119</w:t>
        </w:r>
        <w:r w:rsidR="00286323">
          <w:rPr>
            <w:webHidden/>
          </w:rPr>
          <w:fldChar w:fldCharType="end"/>
        </w:r>
      </w:hyperlink>
    </w:p>
    <w:p w:rsidR="00286323" w:rsidRDefault="00FC5A24">
      <w:pPr>
        <w:pStyle w:val="10"/>
        <w:rPr>
          <w:rFonts w:asciiTheme="minorHAnsi" w:eastAsiaTheme="minorEastAsia" w:hAnsiTheme="minorHAnsi" w:cstheme="minorBidi"/>
          <w:b w:val="0"/>
          <w:caps w:val="0"/>
          <w:sz w:val="21"/>
          <w:szCs w:val="22"/>
        </w:rPr>
      </w:pPr>
      <w:hyperlink w:anchor="_Toc81922650" w:history="1">
        <w:r w:rsidR="00286323" w:rsidRPr="00387889">
          <w:rPr>
            <w:rStyle w:val="af2"/>
            <w:rFonts w:asciiTheme="minorEastAsia" w:hAnsiTheme="minorEastAsia" w:cs="Arial" w:hint="eastAsia"/>
            <w:bCs/>
          </w:rPr>
          <w:t>十六、</w:t>
        </w:r>
        <w:r w:rsidR="00286323">
          <w:rPr>
            <w:rFonts w:asciiTheme="minorHAnsi" w:eastAsiaTheme="minorEastAsia" w:hAnsiTheme="minorHAnsi" w:cstheme="minorBidi"/>
            <w:b w:val="0"/>
            <w:caps w:val="0"/>
            <w:sz w:val="21"/>
            <w:szCs w:val="22"/>
          </w:rPr>
          <w:tab/>
        </w:r>
        <w:r w:rsidR="00286323" w:rsidRPr="00387889">
          <w:rPr>
            <w:rStyle w:val="af2"/>
            <w:rFonts w:asciiTheme="minorEastAsia" w:hAnsiTheme="minorEastAsia" w:cs="Arial" w:hint="eastAsia"/>
            <w:bCs/>
          </w:rPr>
          <w:t>基金的费用与税收</w:t>
        </w:r>
        <w:r w:rsidR="00286323">
          <w:rPr>
            <w:webHidden/>
          </w:rPr>
          <w:tab/>
        </w:r>
        <w:r w:rsidR="00286323">
          <w:rPr>
            <w:webHidden/>
          </w:rPr>
          <w:fldChar w:fldCharType="begin"/>
        </w:r>
        <w:r w:rsidR="00286323">
          <w:rPr>
            <w:webHidden/>
          </w:rPr>
          <w:instrText xml:space="preserve"> PAGEREF _Toc81922650 \h </w:instrText>
        </w:r>
        <w:r w:rsidR="00286323">
          <w:rPr>
            <w:webHidden/>
          </w:rPr>
        </w:r>
        <w:r w:rsidR="00286323">
          <w:rPr>
            <w:webHidden/>
          </w:rPr>
          <w:fldChar w:fldCharType="separate"/>
        </w:r>
        <w:r w:rsidR="00B62D8F">
          <w:rPr>
            <w:webHidden/>
          </w:rPr>
          <w:t>121</w:t>
        </w:r>
        <w:r w:rsidR="00286323">
          <w:rPr>
            <w:webHidden/>
          </w:rPr>
          <w:fldChar w:fldCharType="end"/>
        </w:r>
      </w:hyperlink>
    </w:p>
    <w:p w:rsidR="00286323" w:rsidRDefault="00FC5A24">
      <w:pPr>
        <w:pStyle w:val="10"/>
        <w:rPr>
          <w:rFonts w:asciiTheme="minorHAnsi" w:eastAsiaTheme="minorEastAsia" w:hAnsiTheme="minorHAnsi" w:cstheme="minorBidi"/>
          <w:b w:val="0"/>
          <w:caps w:val="0"/>
          <w:sz w:val="21"/>
          <w:szCs w:val="22"/>
        </w:rPr>
      </w:pPr>
      <w:hyperlink w:anchor="_Toc81922651" w:history="1">
        <w:r w:rsidR="00286323" w:rsidRPr="00387889">
          <w:rPr>
            <w:rStyle w:val="af2"/>
            <w:rFonts w:asciiTheme="minorEastAsia" w:hAnsiTheme="minorEastAsia" w:cs="Arial" w:hint="eastAsia"/>
            <w:bCs/>
          </w:rPr>
          <w:t>十七、</w:t>
        </w:r>
        <w:r w:rsidR="00286323">
          <w:rPr>
            <w:rFonts w:asciiTheme="minorHAnsi" w:eastAsiaTheme="minorEastAsia" w:hAnsiTheme="minorHAnsi" w:cstheme="minorBidi"/>
            <w:b w:val="0"/>
            <w:caps w:val="0"/>
            <w:sz w:val="21"/>
            <w:szCs w:val="22"/>
          </w:rPr>
          <w:tab/>
        </w:r>
        <w:r w:rsidR="00286323" w:rsidRPr="00387889">
          <w:rPr>
            <w:rStyle w:val="af2"/>
            <w:rFonts w:asciiTheme="minorEastAsia" w:hAnsiTheme="minorEastAsia" w:cs="Arial" w:hint="eastAsia"/>
            <w:bCs/>
          </w:rPr>
          <w:t>基金的会计与审计</w:t>
        </w:r>
        <w:r w:rsidR="00286323">
          <w:rPr>
            <w:webHidden/>
          </w:rPr>
          <w:tab/>
        </w:r>
        <w:r w:rsidR="00286323">
          <w:rPr>
            <w:webHidden/>
          </w:rPr>
          <w:fldChar w:fldCharType="begin"/>
        </w:r>
        <w:r w:rsidR="00286323">
          <w:rPr>
            <w:webHidden/>
          </w:rPr>
          <w:instrText xml:space="preserve"> PAGEREF _Toc81922651 \h </w:instrText>
        </w:r>
        <w:r w:rsidR="00286323">
          <w:rPr>
            <w:webHidden/>
          </w:rPr>
        </w:r>
        <w:r w:rsidR="00286323">
          <w:rPr>
            <w:webHidden/>
          </w:rPr>
          <w:fldChar w:fldCharType="separate"/>
        </w:r>
        <w:r w:rsidR="00B62D8F">
          <w:rPr>
            <w:webHidden/>
          </w:rPr>
          <w:t>124</w:t>
        </w:r>
        <w:r w:rsidR="00286323">
          <w:rPr>
            <w:webHidden/>
          </w:rPr>
          <w:fldChar w:fldCharType="end"/>
        </w:r>
      </w:hyperlink>
    </w:p>
    <w:p w:rsidR="00286323" w:rsidRDefault="00FC5A24">
      <w:pPr>
        <w:pStyle w:val="10"/>
        <w:rPr>
          <w:rFonts w:asciiTheme="minorHAnsi" w:eastAsiaTheme="minorEastAsia" w:hAnsiTheme="minorHAnsi" w:cstheme="minorBidi"/>
          <w:b w:val="0"/>
          <w:caps w:val="0"/>
          <w:sz w:val="21"/>
          <w:szCs w:val="22"/>
        </w:rPr>
      </w:pPr>
      <w:hyperlink w:anchor="_Toc81922652" w:history="1">
        <w:r w:rsidR="00286323" w:rsidRPr="00387889">
          <w:rPr>
            <w:rStyle w:val="af2"/>
            <w:rFonts w:asciiTheme="minorEastAsia" w:hAnsiTheme="minorEastAsia" w:cs="Arial" w:hint="eastAsia"/>
            <w:bCs/>
          </w:rPr>
          <w:t>十八、</w:t>
        </w:r>
        <w:r w:rsidR="00286323">
          <w:rPr>
            <w:rFonts w:asciiTheme="minorHAnsi" w:eastAsiaTheme="minorEastAsia" w:hAnsiTheme="minorHAnsi" w:cstheme="minorBidi"/>
            <w:b w:val="0"/>
            <w:caps w:val="0"/>
            <w:sz w:val="21"/>
            <w:szCs w:val="22"/>
          </w:rPr>
          <w:tab/>
        </w:r>
        <w:r w:rsidR="00286323" w:rsidRPr="00387889">
          <w:rPr>
            <w:rStyle w:val="af2"/>
            <w:rFonts w:asciiTheme="minorEastAsia" w:hAnsiTheme="minorEastAsia" w:cs="Arial" w:hint="eastAsia"/>
            <w:bCs/>
          </w:rPr>
          <w:t>基金的信息披露</w:t>
        </w:r>
        <w:r w:rsidR="00286323">
          <w:rPr>
            <w:webHidden/>
          </w:rPr>
          <w:tab/>
        </w:r>
        <w:r w:rsidR="00286323">
          <w:rPr>
            <w:webHidden/>
          </w:rPr>
          <w:fldChar w:fldCharType="begin"/>
        </w:r>
        <w:r w:rsidR="00286323">
          <w:rPr>
            <w:webHidden/>
          </w:rPr>
          <w:instrText xml:space="preserve"> PAGEREF _Toc81922652 \h </w:instrText>
        </w:r>
        <w:r w:rsidR="00286323">
          <w:rPr>
            <w:webHidden/>
          </w:rPr>
        </w:r>
        <w:r w:rsidR="00286323">
          <w:rPr>
            <w:webHidden/>
          </w:rPr>
          <w:fldChar w:fldCharType="separate"/>
        </w:r>
        <w:r w:rsidR="00B62D8F">
          <w:rPr>
            <w:webHidden/>
          </w:rPr>
          <w:t>125</w:t>
        </w:r>
        <w:r w:rsidR="00286323">
          <w:rPr>
            <w:webHidden/>
          </w:rPr>
          <w:fldChar w:fldCharType="end"/>
        </w:r>
      </w:hyperlink>
    </w:p>
    <w:p w:rsidR="00286323" w:rsidRDefault="00FC5A24">
      <w:pPr>
        <w:pStyle w:val="10"/>
        <w:rPr>
          <w:rFonts w:asciiTheme="minorHAnsi" w:eastAsiaTheme="minorEastAsia" w:hAnsiTheme="minorHAnsi" w:cstheme="minorBidi"/>
          <w:b w:val="0"/>
          <w:caps w:val="0"/>
          <w:sz w:val="21"/>
          <w:szCs w:val="22"/>
        </w:rPr>
      </w:pPr>
      <w:hyperlink w:anchor="_Toc81922653" w:history="1">
        <w:r w:rsidR="00286323" w:rsidRPr="00387889">
          <w:rPr>
            <w:rStyle w:val="af2"/>
            <w:rFonts w:asciiTheme="minorEastAsia" w:hAnsiTheme="minorEastAsia" w:cs="Arial" w:hint="eastAsia"/>
          </w:rPr>
          <w:t>十九、</w:t>
        </w:r>
        <w:r w:rsidR="00286323">
          <w:rPr>
            <w:rFonts w:asciiTheme="minorHAnsi" w:eastAsiaTheme="minorEastAsia" w:hAnsiTheme="minorHAnsi" w:cstheme="minorBidi"/>
            <w:b w:val="0"/>
            <w:caps w:val="0"/>
            <w:sz w:val="21"/>
            <w:szCs w:val="22"/>
          </w:rPr>
          <w:tab/>
        </w:r>
        <w:r w:rsidR="00286323" w:rsidRPr="00387889">
          <w:rPr>
            <w:rStyle w:val="af2"/>
            <w:rFonts w:asciiTheme="minorEastAsia" w:hAnsiTheme="minorEastAsia" w:cs="Arial" w:hint="eastAsia"/>
            <w:bCs/>
          </w:rPr>
          <w:t>风险揭示</w:t>
        </w:r>
        <w:r w:rsidR="00286323">
          <w:rPr>
            <w:webHidden/>
          </w:rPr>
          <w:tab/>
        </w:r>
        <w:r w:rsidR="00286323">
          <w:rPr>
            <w:webHidden/>
          </w:rPr>
          <w:fldChar w:fldCharType="begin"/>
        </w:r>
        <w:r w:rsidR="00286323">
          <w:rPr>
            <w:webHidden/>
          </w:rPr>
          <w:instrText xml:space="preserve"> PAGEREF _Toc81922653 \h </w:instrText>
        </w:r>
        <w:r w:rsidR="00286323">
          <w:rPr>
            <w:webHidden/>
          </w:rPr>
        </w:r>
        <w:r w:rsidR="00286323">
          <w:rPr>
            <w:webHidden/>
          </w:rPr>
          <w:fldChar w:fldCharType="separate"/>
        </w:r>
        <w:r w:rsidR="00B62D8F">
          <w:rPr>
            <w:webHidden/>
          </w:rPr>
          <w:t>130</w:t>
        </w:r>
        <w:r w:rsidR="00286323">
          <w:rPr>
            <w:webHidden/>
          </w:rPr>
          <w:fldChar w:fldCharType="end"/>
        </w:r>
      </w:hyperlink>
    </w:p>
    <w:p w:rsidR="00286323" w:rsidRDefault="00FC5A24">
      <w:pPr>
        <w:pStyle w:val="10"/>
        <w:rPr>
          <w:rFonts w:asciiTheme="minorHAnsi" w:eastAsiaTheme="minorEastAsia" w:hAnsiTheme="minorHAnsi" w:cstheme="minorBidi"/>
          <w:b w:val="0"/>
          <w:caps w:val="0"/>
          <w:sz w:val="21"/>
          <w:szCs w:val="22"/>
        </w:rPr>
      </w:pPr>
      <w:hyperlink w:anchor="_Toc81922654" w:history="1">
        <w:r w:rsidR="00286323" w:rsidRPr="00387889">
          <w:rPr>
            <w:rStyle w:val="af2"/>
            <w:rFonts w:asciiTheme="minorEastAsia" w:hAnsiTheme="minorEastAsia" w:cs="Arial" w:hint="eastAsia"/>
            <w:bCs/>
          </w:rPr>
          <w:t>二十、</w:t>
        </w:r>
        <w:r w:rsidR="00286323">
          <w:rPr>
            <w:rFonts w:asciiTheme="minorHAnsi" w:eastAsiaTheme="minorEastAsia" w:hAnsiTheme="minorHAnsi" w:cstheme="minorBidi"/>
            <w:b w:val="0"/>
            <w:caps w:val="0"/>
            <w:sz w:val="21"/>
            <w:szCs w:val="22"/>
          </w:rPr>
          <w:tab/>
        </w:r>
        <w:r w:rsidR="00286323" w:rsidRPr="00387889">
          <w:rPr>
            <w:rStyle w:val="af2"/>
            <w:rFonts w:asciiTheme="minorEastAsia" w:hAnsiTheme="minorEastAsia" w:cs="Arial" w:hint="eastAsia"/>
            <w:bCs/>
          </w:rPr>
          <w:t>基金合同的变更、终止与基金财产的清算</w:t>
        </w:r>
        <w:r w:rsidR="00286323">
          <w:rPr>
            <w:webHidden/>
          </w:rPr>
          <w:tab/>
        </w:r>
        <w:r w:rsidR="00286323">
          <w:rPr>
            <w:webHidden/>
          </w:rPr>
          <w:fldChar w:fldCharType="begin"/>
        </w:r>
        <w:r w:rsidR="00286323">
          <w:rPr>
            <w:webHidden/>
          </w:rPr>
          <w:instrText xml:space="preserve"> PAGEREF _Toc81922654 \h </w:instrText>
        </w:r>
        <w:r w:rsidR="00286323">
          <w:rPr>
            <w:webHidden/>
          </w:rPr>
        </w:r>
        <w:r w:rsidR="00286323">
          <w:rPr>
            <w:webHidden/>
          </w:rPr>
          <w:fldChar w:fldCharType="separate"/>
        </w:r>
        <w:r w:rsidR="00B62D8F">
          <w:rPr>
            <w:webHidden/>
          </w:rPr>
          <w:t>136</w:t>
        </w:r>
        <w:r w:rsidR="00286323">
          <w:rPr>
            <w:webHidden/>
          </w:rPr>
          <w:fldChar w:fldCharType="end"/>
        </w:r>
      </w:hyperlink>
    </w:p>
    <w:p w:rsidR="00286323" w:rsidRDefault="00FC5A24">
      <w:pPr>
        <w:pStyle w:val="10"/>
        <w:rPr>
          <w:rFonts w:asciiTheme="minorHAnsi" w:eastAsiaTheme="minorEastAsia" w:hAnsiTheme="minorHAnsi" w:cstheme="minorBidi"/>
          <w:b w:val="0"/>
          <w:caps w:val="0"/>
          <w:sz w:val="21"/>
          <w:szCs w:val="22"/>
        </w:rPr>
      </w:pPr>
      <w:hyperlink w:anchor="_Toc81922655" w:history="1">
        <w:r w:rsidR="00286323" w:rsidRPr="00387889">
          <w:rPr>
            <w:rStyle w:val="af2"/>
            <w:rFonts w:asciiTheme="minorEastAsia" w:hAnsiTheme="minorEastAsia" w:cs="Arial" w:hint="eastAsia"/>
          </w:rPr>
          <w:t>二十一、</w:t>
        </w:r>
        <w:r w:rsidR="00286323">
          <w:rPr>
            <w:rFonts w:asciiTheme="minorHAnsi" w:eastAsiaTheme="minorEastAsia" w:hAnsiTheme="minorHAnsi" w:cstheme="minorBidi"/>
            <w:b w:val="0"/>
            <w:caps w:val="0"/>
            <w:sz w:val="21"/>
            <w:szCs w:val="22"/>
          </w:rPr>
          <w:tab/>
        </w:r>
        <w:r w:rsidR="00286323" w:rsidRPr="00387889">
          <w:rPr>
            <w:rStyle w:val="af2"/>
            <w:rFonts w:asciiTheme="minorEastAsia" w:hAnsiTheme="minorEastAsia" w:cs="Arial" w:hint="eastAsia"/>
            <w:bCs/>
          </w:rPr>
          <w:t>基金合同的内容摘要</w:t>
        </w:r>
        <w:r w:rsidR="00286323">
          <w:rPr>
            <w:webHidden/>
          </w:rPr>
          <w:tab/>
        </w:r>
        <w:r w:rsidR="00286323">
          <w:rPr>
            <w:webHidden/>
          </w:rPr>
          <w:fldChar w:fldCharType="begin"/>
        </w:r>
        <w:r w:rsidR="00286323">
          <w:rPr>
            <w:webHidden/>
          </w:rPr>
          <w:instrText xml:space="preserve"> PAGEREF _Toc81922655 \h </w:instrText>
        </w:r>
        <w:r w:rsidR="00286323">
          <w:rPr>
            <w:webHidden/>
          </w:rPr>
        </w:r>
        <w:r w:rsidR="00286323">
          <w:rPr>
            <w:webHidden/>
          </w:rPr>
          <w:fldChar w:fldCharType="separate"/>
        </w:r>
        <w:r w:rsidR="00B62D8F">
          <w:rPr>
            <w:webHidden/>
          </w:rPr>
          <w:t>138</w:t>
        </w:r>
        <w:r w:rsidR="00286323">
          <w:rPr>
            <w:webHidden/>
          </w:rPr>
          <w:fldChar w:fldCharType="end"/>
        </w:r>
      </w:hyperlink>
    </w:p>
    <w:p w:rsidR="00286323" w:rsidRDefault="00FC5A24">
      <w:pPr>
        <w:pStyle w:val="10"/>
        <w:rPr>
          <w:rFonts w:asciiTheme="minorHAnsi" w:eastAsiaTheme="minorEastAsia" w:hAnsiTheme="minorHAnsi" w:cstheme="minorBidi"/>
          <w:b w:val="0"/>
          <w:caps w:val="0"/>
          <w:sz w:val="21"/>
          <w:szCs w:val="22"/>
        </w:rPr>
      </w:pPr>
      <w:hyperlink w:anchor="_Toc81922656" w:history="1">
        <w:r w:rsidR="00286323" w:rsidRPr="00387889">
          <w:rPr>
            <w:rStyle w:val="af2"/>
            <w:rFonts w:asciiTheme="minorEastAsia" w:hAnsiTheme="minorEastAsia" w:cs="Arial" w:hint="eastAsia"/>
            <w:bCs/>
          </w:rPr>
          <w:t>二十二、</w:t>
        </w:r>
        <w:r w:rsidR="00286323">
          <w:rPr>
            <w:rFonts w:asciiTheme="minorHAnsi" w:eastAsiaTheme="minorEastAsia" w:hAnsiTheme="minorHAnsi" w:cstheme="minorBidi"/>
            <w:b w:val="0"/>
            <w:caps w:val="0"/>
            <w:sz w:val="21"/>
            <w:szCs w:val="22"/>
          </w:rPr>
          <w:tab/>
        </w:r>
        <w:r w:rsidR="00286323" w:rsidRPr="00387889">
          <w:rPr>
            <w:rStyle w:val="af2"/>
            <w:rFonts w:asciiTheme="minorEastAsia" w:hAnsiTheme="minorEastAsia" w:cs="Arial" w:hint="eastAsia"/>
            <w:bCs/>
          </w:rPr>
          <w:t>基金托管协议的内容摘要</w:t>
        </w:r>
        <w:r w:rsidR="00286323">
          <w:rPr>
            <w:webHidden/>
          </w:rPr>
          <w:tab/>
        </w:r>
        <w:r w:rsidR="00286323">
          <w:rPr>
            <w:webHidden/>
          </w:rPr>
          <w:fldChar w:fldCharType="begin"/>
        </w:r>
        <w:r w:rsidR="00286323">
          <w:rPr>
            <w:webHidden/>
          </w:rPr>
          <w:instrText xml:space="preserve"> PAGEREF _Toc81922656 \h </w:instrText>
        </w:r>
        <w:r w:rsidR="00286323">
          <w:rPr>
            <w:webHidden/>
          </w:rPr>
        </w:r>
        <w:r w:rsidR="00286323">
          <w:rPr>
            <w:webHidden/>
          </w:rPr>
          <w:fldChar w:fldCharType="separate"/>
        </w:r>
        <w:r w:rsidR="00B62D8F">
          <w:rPr>
            <w:webHidden/>
          </w:rPr>
          <w:t>160</w:t>
        </w:r>
        <w:r w:rsidR="00286323">
          <w:rPr>
            <w:webHidden/>
          </w:rPr>
          <w:fldChar w:fldCharType="end"/>
        </w:r>
      </w:hyperlink>
    </w:p>
    <w:p w:rsidR="00286323" w:rsidRDefault="00FC5A24">
      <w:pPr>
        <w:pStyle w:val="10"/>
        <w:rPr>
          <w:rFonts w:asciiTheme="minorHAnsi" w:eastAsiaTheme="minorEastAsia" w:hAnsiTheme="minorHAnsi" w:cstheme="minorBidi"/>
          <w:b w:val="0"/>
          <w:caps w:val="0"/>
          <w:sz w:val="21"/>
          <w:szCs w:val="22"/>
        </w:rPr>
      </w:pPr>
      <w:hyperlink w:anchor="_Toc81922657" w:history="1">
        <w:r w:rsidR="00286323" w:rsidRPr="00387889">
          <w:rPr>
            <w:rStyle w:val="af2"/>
            <w:rFonts w:asciiTheme="minorEastAsia" w:hAnsiTheme="minorEastAsia" w:cs="Arial" w:hint="eastAsia"/>
            <w:bCs/>
          </w:rPr>
          <w:t>二十三、</w:t>
        </w:r>
        <w:r w:rsidR="00286323">
          <w:rPr>
            <w:rFonts w:asciiTheme="minorHAnsi" w:eastAsiaTheme="minorEastAsia" w:hAnsiTheme="minorHAnsi" w:cstheme="minorBidi"/>
            <w:b w:val="0"/>
            <w:caps w:val="0"/>
            <w:sz w:val="21"/>
            <w:szCs w:val="22"/>
          </w:rPr>
          <w:tab/>
        </w:r>
        <w:r w:rsidR="00286323" w:rsidRPr="00387889">
          <w:rPr>
            <w:rStyle w:val="af2"/>
            <w:rFonts w:asciiTheme="minorEastAsia" w:hAnsiTheme="minorEastAsia" w:cs="Arial" w:hint="eastAsia"/>
            <w:bCs/>
          </w:rPr>
          <w:t>对基金份额持有人的服务</w:t>
        </w:r>
        <w:r w:rsidR="00286323">
          <w:rPr>
            <w:webHidden/>
          </w:rPr>
          <w:tab/>
        </w:r>
        <w:r w:rsidR="00286323">
          <w:rPr>
            <w:webHidden/>
          </w:rPr>
          <w:fldChar w:fldCharType="begin"/>
        </w:r>
        <w:r w:rsidR="00286323">
          <w:rPr>
            <w:webHidden/>
          </w:rPr>
          <w:instrText xml:space="preserve"> PAGEREF _Toc81922657 \h </w:instrText>
        </w:r>
        <w:r w:rsidR="00286323">
          <w:rPr>
            <w:webHidden/>
          </w:rPr>
        </w:r>
        <w:r w:rsidR="00286323">
          <w:rPr>
            <w:webHidden/>
          </w:rPr>
          <w:fldChar w:fldCharType="separate"/>
        </w:r>
        <w:r w:rsidR="00B62D8F">
          <w:rPr>
            <w:webHidden/>
          </w:rPr>
          <w:t>171</w:t>
        </w:r>
        <w:r w:rsidR="00286323">
          <w:rPr>
            <w:webHidden/>
          </w:rPr>
          <w:fldChar w:fldCharType="end"/>
        </w:r>
      </w:hyperlink>
    </w:p>
    <w:p w:rsidR="00286323" w:rsidRDefault="00FC5A24">
      <w:pPr>
        <w:pStyle w:val="10"/>
        <w:rPr>
          <w:rFonts w:asciiTheme="minorHAnsi" w:eastAsiaTheme="minorEastAsia" w:hAnsiTheme="minorHAnsi" w:cstheme="minorBidi"/>
          <w:b w:val="0"/>
          <w:caps w:val="0"/>
          <w:sz w:val="21"/>
          <w:szCs w:val="22"/>
        </w:rPr>
      </w:pPr>
      <w:hyperlink w:anchor="_Toc81922658" w:history="1">
        <w:r w:rsidR="00286323" w:rsidRPr="00387889">
          <w:rPr>
            <w:rStyle w:val="af2"/>
            <w:rFonts w:asciiTheme="minorEastAsia" w:hAnsiTheme="minorEastAsia" w:cs="Arial" w:hint="eastAsia"/>
            <w:bCs/>
          </w:rPr>
          <w:t>二十四、</w:t>
        </w:r>
        <w:r w:rsidR="00286323">
          <w:rPr>
            <w:rFonts w:asciiTheme="minorHAnsi" w:eastAsiaTheme="minorEastAsia" w:hAnsiTheme="minorHAnsi" w:cstheme="minorBidi"/>
            <w:b w:val="0"/>
            <w:caps w:val="0"/>
            <w:sz w:val="21"/>
            <w:szCs w:val="22"/>
          </w:rPr>
          <w:tab/>
        </w:r>
        <w:r w:rsidR="00286323" w:rsidRPr="00387889">
          <w:rPr>
            <w:rStyle w:val="af2"/>
            <w:rFonts w:asciiTheme="minorEastAsia" w:hAnsiTheme="minorEastAsia" w:cs="Arial" w:hint="eastAsia"/>
            <w:bCs/>
          </w:rPr>
          <w:t>其他应披露事项</w:t>
        </w:r>
        <w:r w:rsidR="00286323">
          <w:rPr>
            <w:webHidden/>
          </w:rPr>
          <w:tab/>
        </w:r>
        <w:r w:rsidR="00286323">
          <w:rPr>
            <w:webHidden/>
          </w:rPr>
          <w:fldChar w:fldCharType="begin"/>
        </w:r>
        <w:r w:rsidR="00286323">
          <w:rPr>
            <w:webHidden/>
          </w:rPr>
          <w:instrText xml:space="preserve"> PAGEREF _Toc81922658 \h </w:instrText>
        </w:r>
        <w:r w:rsidR="00286323">
          <w:rPr>
            <w:webHidden/>
          </w:rPr>
        </w:r>
        <w:r w:rsidR="00286323">
          <w:rPr>
            <w:webHidden/>
          </w:rPr>
          <w:fldChar w:fldCharType="separate"/>
        </w:r>
        <w:r w:rsidR="00B62D8F">
          <w:rPr>
            <w:webHidden/>
          </w:rPr>
          <w:t>173</w:t>
        </w:r>
        <w:r w:rsidR="00286323">
          <w:rPr>
            <w:webHidden/>
          </w:rPr>
          <w:fldChar w:fldCharType="end"/>
        </w:r>
      </w:hyperlink>
    </w:p>
    <w:p w:rsidR="00286323" w:rsidRDefault="00FC5A24">
      <w:pPr>
        <w:pStyle w:val="10"/>
        <w:rPr>
          <w:rFonts w:asciiTheme="minorHAnsi" w:eastAsiaTheme="minorEastAsia" w:hAnsiTheme="minorHAnsi" w:cstheme="minorBidi"/>
          <w:b w:val="0"/>
          <w:caps w:val="0"/>
          <w:sz w:val="21"/>
          <w:szCs w:val="22"/>
        </w:rPr>
      </w:pPr>
      <w:hyperlink w:anchor="_Toc81922659" w:history="1">
        <w:r w:rsidR="00286323" w:rsidRPr="00387889">
          <w:rPr>
            <w:rStyle w:val="af2"/>
            <w:rFonts w:asciiTheme="minorEastAsia" w:hAnsiTheme="minorEastAsia" w:cs="Arial" w:hint="eastAsia"/>
            <w:bCs/>
          </w:rPr>
          <w:t>二十五、</w:t>
        </w:r>
        <w:r w:rsidR="00286323">
          <w:rPr>
            <w:rFonts w:asciiTheme="minorHAnsi" w:eastAsiaTheme="minorEastAsia" w:hAnsiTheme="minorHAnsi" w:cstheme="minorBidi"/>
            <w:b w:val="0"/>
            <w:caps w:val="0"/>
            <w:sz w:val="21"/>
            <w:szCs w:val="22"/>
          </w:rPr>
          <w:tab/>
        </w:r>
        <w:r w:rsidR="00286323" w:rsidRPr="00387889">
          <w:rPr>
            <w:rStyle w:val="af2"/>
            <w:rFonts w:asciiTheme="minorEastAsia" w:hAnsiTheme="minorEastAsia" w:cs="Arial" w:hint="eastAsia"/>
            <w:bCs/>
          </w:rPr>
          <w:t>招募说明书存放及查阅方式</w:t>
        </w:r>
        <w:r w:rsidR="00286323">
          <w:rPr>
            <w:webHidden/>
          </w:rPr>
          <w:tab/>
        </w:r>
        <w:r w:rsidR="00286323">
          <w:rPr>
            <w:webHidden/>
          </w:rPr>
          <w:fldChar w:fldCharType="begin"/>
        </w:r>
        <w:r w:rsidR="00286323">
          <w:rPr>
            <w:webHidden/>
          </w:rPr>
          <w:instrText xml:space="preserve"> PAGEREF _Toc81922659 \h </w:instrText>
        </w:r>
        <w:r w:rsidR="00286323">
          <w:rPr>
            <w:webHidden/>
          </w:rPr>
        </w:r>
        <w:r w:rsidR="00286323">
          <w:rPr>
            <w:webHidden/>
          </w:rPr>
          <w:fldChar w:fldCharType="separate"/>
        </w:r>
        <w:r w:rsidR="00B62D8F">
          <w:rPr>
            <w:webHidden/>
          </w:rPr>
          <w:t>175</w:t>
        </w:r>
        <w:r w:rsidR="00286323">
          <w:rPr>
            <w:webHidden/>
          </w:rPr>
          <w:fldChar w:fldCharType="end"/>
        </w:r>
      </w:hyperlink>
    </w:p>
    <w:p w:rsidR="00286323" w:rsidRDefault="00FC5A24">
      <w:pPr>
        <w:pStyle w:val="10"/>
        <w:rPr>
          <w:rFonts w:asciiTheme="minorHAnsi" w:eastAsiaTheme="minorEastAsia" w:hAnsiTheme="minorHAnsi" w:cstheme="minorBidi"/>
          <w:b w:val="0"/>
          <w:caps w:val="0"/>
          <w:sz w:val="21"/>
          <w:szCs w:val="22"/>
        </w:rPr>
      </w:pPr>
      <w:hyperlink w:anchor="_Toc81922660" w:history="1">
        <w:r w:rsidR="00286323" w:rsidRPr="00387889">
          <w:rPr>
            <w:rStyle w:val="af2"/>
            <w:rFonts w:asciiTheme="minorEastAsia" w:hAnsiTheme="minorEastAsia" w:cs="Arial" w:hint="eastAsia"/>
          </w:rPr>
          <w:t>二十六、</w:t>
        </w:r>
        <w:r w:rsidR="00286323">
          <w:rPr>
            <w:rFonts w:asciiTheme="minorHAnsi" w:eastAsiaTheme="minorEastAsia" w:hAnsiTheme="minorHAnsi" w:cstheme="minorBidi"/>
            <w:b w:val="0"/>
            <w:caps w:val="0"/>
            <w:sz w:val="21"/>
            <w:szCs w:val="22"/>
          </w:rPr>
          <w:tab/>
        </w:r>
        <w:r w:rsidR="00286323" w:rsidRPr="00387889">
          <w:rPr>
            <w:rStyle w:val="af2"/>
            <w:rFonts w:asciiTheme="minorEastAsia" w:hAnsiTheme="minorEastAsia" w:cs="Arial" w:hint="eastAsia"/>
          </w:rPr>
          <w:t>备查文</w:t>
        </w:r>
        <w:r w:rsidR="00286323" w:rsidRPr="00387889">
          <w:rPr>
            <w:rStyle w:val="af2"/>
            <w:rFonts w:asciiTheme="minorEastAsia" w:hAnsiTheme="minorEastAsia" w:cs="Arial" w:hint="eastAsia"/>
          </w:rPr>
          <w:t>件</w:t>
        </w:r>
        <w:r w:rsidR="00286323">
          <w:rPr>
            <w:webHidden/>
          </w:rPr>
          <w:tab/>
        </w:r>
        <w:r w:rsidR="00286323">
          <w:rPr>
            <w:webHidden/>
          </w:rPr>
          <w:fldChar w:fldCharType="begin"/>
        </w:r>
        <w:r w:rsidR="00286323">
          <w:rPr>
            <w:webHidden/>
          </w:rPr>
          <w:instrText xml:space="preserve"> PAGEREF _Toc81922660 \h </w:instrText>
        </w:r>
        <w:r w:rsidR="00286323">
          <w:rPr>
            <w:webHidden/>
          </w:rPr>
        </w:r>
        <w:r w:rsidR="00286323">
          <w:rPr>
            <w:webHidden/>
          </w:rPr>
          <w:fldChar w:fldCharType="separate"/>
        </w:r>
        <w:r w:rsidR="00B62D8F">
          <w:rPr>
            <w:webHidden/>
          </w:rPr>
          <w:t>176</w:t>
        </w:r>
        <w:r w:rsidR="00286323">
          <w:rPr>
            <w:webHidden/>
          </w:rPr>
          <w:fldChar w:fldCharType="end"/>
        </w:r>
      </w:hyperlink>
    </w:p>
    <w:p w:rsidR="001A7CDB" w:rsidRPr="00286323" w:rsidRDefault="00907BEB" w:rsidP="00F71D3B">
      <w:pPr>
        <w:snapToGrid w:val="0"/>
        <w:spacing w:line="360" w:lineRule="auto"/>
        <w:jc w:val="center"/>
        <w:rPr>
          <w:rFonts w:asciiTheme="minorEastAsia" w:eastAsiaTheme="minorEastAsia" w:hAnsiTheme="minorEastAsia" w:cs="Arial"/>
          <w:color w:val="000000" w:themeColor="text1"/>
        </w:rPr>
        <w:sectPr w:rsidR="001A7CDB" w:rsidRPr="00286323" w:rsidSect="00D648D0">
          <w:footerReference w:type="default" r:id="rId12"/>
          <w:pgSz w:w="11907" w:h="16840" w:code="9"/>
          <w:pgMar w:top="1701" w:right="1814" w:bottom="1701" w:left="1814" w:header="1134" w:footer="1247" w:gutter="0"/>
          <w:pgNumType w:fmt="upperRoman" w:start="1"/>
          <w:cols w:space="425"/>
          <w:docGrid w:type="linesAndChars" w:linePitch="447"/>
        </w:sectPr>
      </w:pPr>
      <w:r w:rsidRPr="00286323">
        <w:rPr>
          <w:rFonts w:asciiTheme="minorEastAsia" w:eastAsiaTheme="minorEastAsia" w:hAnsiTheme="minorEastAsia" w:cs="Arial"/>
          <w:noProof/>
          <w:color w:val="000000" w:themeColor="text1"/>
          <w:kern w:val="2"/>
          <w:sz w:val="24"/>
          <w:szCs w:val="28"/>
        </w:rPr>
        <w:fldChar w:fldCharType="end"/>
      </w:r>
    </w:p>
    <w:p w:rsidR="001A7CDB" w:rsidRPr="00286323" w:rsidRDefault="001A7CDB" w:rsidP="00F71D3B">
      <w:pPr>
        <w:pStyle w:val="11"/>
        <w:numPr>
          <w:ilvl w:val="0"/>
          <w:numId w:val="9"/>
        </w:numPr>
        <w:snapToGrid w:val="0"/>
        <w:spacing w:beforeLines="0" w:afterLines="0" w:line="360" w:lineRule="auto"/>
        <w:ind w:firstLineChars="0"/>
        <w:rPr>
          <w:rFonts w:asciiTheme="minorEastAsia" w:eastAsiaTheme="minorEastAsia" w:hAnsiTheme="minorEastAsia" w:cs="Arial"/>
          <w:color w:val="000000" w:themeColor="text1"/>
        </w:rPr>
      </w:pPr>
      <w:bookmarkStart w:id="0" w:name="_Toc38432421"/>
      <w:bookmarkStart w:id="1" w:name="_Toc81922635"/>
      <w:r w:rsidRPr="00286323">
        <w:rPr>
          <w:rFonts w:asciiTheme="minorEastAsia" w:eastAsiaTheme="minorEastAsia" w:hAnsiTheme="minorEastAsia" w:cs="Arial" w:hint="eastAsia"/>
          <w:color w:val="000000" w:themeColor="text1"/>
        </w:rPr>
        <w:lastRenderedPageBreak/>
        <w:t>绪言</w:t>
      </w:r>
      <w:bookmarkEnd w:id="0"/>
      <w:bookmarkEnd w:id="1"/>
    </w:p>
    <w:p w:rsidR="001A7CDB" w:rsidRPr="00286323" w:rsidRDefault="007C2A47"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本《招募说明书》依据《中华人民共和国证券投资基金法》（以下简称《基金法》）、《证券投资基金运作管理办法》（以下简称《运作办法》）、《证券投资基金销售管理办法》（以下简称《销售办法》）、《</w:t>
      </w:r>
      <w:r w:rsidRPr="00286323">
        <w:rPr>
          <w:rFonts w:asciiTheme="minorEastAsia" w:eastAsiaTheme="minorEastAsia" w:hAnsiTheme="minorEastAsia" w:cs="Arial" w:hint="eastAsia"/>
          <w:color w:val="000000" w:themeColor="text1"/>
        </w:rPr>
        <w:t>公开募集</w:t>
      </w:r>
      <w:r w:rsidRPr="00286323">
        <w:rPr>
          <w:rFonts w:asciiTheme="minorEastAsia" w:eastAsiaTheme="minorEastAsia" w:hAnsiTheme="minorEastAsia" w:cs="Arial"/>
          <w:color w:val="000000" w:themeColor="text1"/>
        </w:rPr>
        <w:t>证券投资基金信息披露管理办法》（以下简称《信息披露办法》）、《证券投资基金信息披露内容与格式准则第5号&lt;招募说明书的内容与格式&gt;》、</w:t>
      </w:r>
      <w:r w:rsidRPr="00286323">
        <w:rPr>
          <w:rFonts w:asciiTheme="minorEastAsia" w:eastAsiaTheme="minorEastAsia" w:hAnsiTheme="minorEastAsia" w:cs="Arial" w:hint="eastAsia"/>
          <w:color w:val="000000" w:themeColor="text1"/>
        </w:rPr>
        <w:t>《公开募集开放式证券投资基金流动性风险管理规定》（以下简称“《管理规定》”）、《公开募集证券投资基金运作指引第3号——指数基金指引》（以下简称《指数基金指引》）</w:t>
      </w:r>
      <w:r w:rsidRPr="00286323">
        <w:rPr>
          <w:rFonts w:asciiTheme="minorEastAsia" w:eastAsiaTheme="minorEastAsia" w:hAnsiTheme="minorEastAsia" w:cs="Arial"/>
          <w:color w:val="000000" w:themeColor="text1"/>
        </w:rPr>
        <w:t>等有关法律法规以及《易方达沪深300量化增强证券投资基金基金合同》编写。</w:t>
      </w:r>
    </w:p>
    <w:p w:rsidR="001A7CDB" w:rsidRPr="00286323" w:rsidRDefault="001A7CDB" w:rsidP="00F71D3B">
      <w:pPr>
        <w:snapToGrid w:val="0"/>
        <w:spacing w:line="360" w:lineRule="auto"/>
        <w:ind w:firstLine="420"/>
        <w:rPr>
          <w:rStyle w:val="da"/>
          <w:rFonts w:asciiTheme="minorEastAsia" w:eastAsiaTheme="minorEastAsia" w:hAnsiTheme="minorEastAsia" w:cs="Arial"/>
          <w:color w:val="000000" w:themeColor="text1"/>
        </w:rPr>
      </w:pPr>
      <w:r w:rsidRPr="00286323">
        <w:rPr>
          <w:rStyle w:val="da"/>
          <w:rFonts w:asciiTheme="minorEastAsia" w:eastAsiaTheme="minorEastAsia" w:hAnsiTheme="minorEastAsia" w:cs="Arial"/>
          <w:color w:val="000000" w:themeColor="text1"/>
        </w:rPr>
        <w:t>基金管理人承诺本招募说明书不存在任何虚假记载、误导性陈述或者重大遗漏</w:t>
      </w:r>
      <w:r w:rsidR="00E909B5" w:rsidRPr="00286323">
        <w:rPr>
          <w:rStyle w:val="da"/>
          <w:rFonts w:asciiTheme="minorEastAsia" w:eastAsiaTheme="minorEastAsia" w:hAnsiTheme="minorEastAsia" w:cs="Arial" w:hint="eastAsia"/>
          <w:color w:val="000000" w:themeColor="text1"/>
        </w:rPr>
        <w:t>，</w:t>
      </w:r>
      <w:r w:rsidRPr="00286323">
        <w:rPr>
          <w:rStyle w:val="da"/>
          <w:rFonts w:asciiTheme="minorEastAsia" w:eastAsiaTheme="minorEastAsia" w:hAnsiTheme="minorEastAsia" w:cs="Arial"/>
          <w:color w:val="000000" w:themeColor="text1"/>
        </w:rPr>
        <w:t>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1A7CDB" w:rsidRPr="00286323" w:rsidRDefault="001A7CDB" w:rsidP="00F71D3B">
      <w:pPr>
        <w:snapToGrid w:val="0"/>
        <w:spacing w:line="360" w:lineRule="auto"/>
        <w:ind w:firstLine="420"/>
        <w:rPr>
          <w:rStyle w:val="da"/>
          <w:rFonts w:asciiTheme="minorEastAsia" w:eastAsiaTheme="minorEastAsia" w:hAnsiTheme="minorEastAsia" w:cs="Arial"/>
          <w:color w:val="000000" w:themeColor="text1"/>
        </w:rPr>
      </w:pPr>
      <w:r w:rsidRPr="00286323">
        <w:rPr>
          <w:rStyle w:val="da"/>
          <w:rFonts w:asciiTheme="minorEastAsia" w:eastAsiaTheme="minorEastAsia" w:hAnsiTheme="minorEastAsia" w:cs="Arial"/>
          <w:color w:val="000000" w:themeColor="text1"/>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1A7CDB" w:rsidRPr="00286323" w:rsidRDefault="001A7CDB" w:rsidP="00F71D3B">
      <w:pPr>
        <w:snapToGrid w:val="0"/>
        <w:spacing w:line="360" w:lineRule="auto"/>
        <w:rPr>
          <w:rFonts w:asciiTheme="minorEastAsia" w:eastAsiaTheme="minorEastAsia" w:hAnsiTheme="minorEastAsia" w:cs="Arial"/>
          <w:color w:val="000000" w:themeColor="text1"/>
        </w:rPr>
      </w:pPr>
    </w:p>
    <w:p w:rsidR="001A7CDB" w:rsidRPr="00286323" w:rsidRDefault="001A7CDB" w:rsidP="00F71D3B">
      <w:pPr>
        <w:pStyle w:val="11"/>
        <w:numPr>
          <w:ilvl w:val="0"/>
          <w:numId w:val="9"/>
        </w:numPr>
        <w:snapToGrid w:val="0"/>
        <w:spacing w:beforeLines="0" w:afterLines="0" w:line="360" w:lineRule="auto"/>
        <w:ind w:firstLineChars="0"/>
        <w:rPr>
          <w:rFonts w:asciiTheme="minorEastAsia" w:eastAsiaTheme="minorEastAsia" w:hAnsiTheme="minorEastAsia" w:cs="Arial"/>
          <w:color w:val="000000" w:themeColor="text1"/>
        </w:rPr>
      </w:pPr>
      <w:bookmarkStart w:id="2" w:name="_Toc38432422"/>
      <w:bookmarkStart w:id="3" w:name="_Toc81922636"/>
      <w:r w:rsidRPr="00286323">
        <w:rPr>
          <w:rFonts w:asciiTheme="minorEastAsia" w:eastAsiaTheme="minorEastAsia" w:hAnsiTheme="minorEastAsia" w:cs="Arial" w:hint="eastAsia"/>
          <w:color w:val="000000" w:themeColor="text1"/>
        </w:rPr>
        <w:lastRenderedPageBreak/>
        <w:t>释义</w:t>
      </w:r>
      <w:bookmarkEnd w:id="2"/>
      <w:bookmarkEnd w:id="3"/>
    </w:p>
    <w:p w:rsidR="001A7CDB" w:rsidRPr="00286323" w:rsidRDefault="001A7CDB" w:rsidP="00F71D3B">
      <w:pPr>
        <w:snapToGrid w:val="0"/>
        <w:spacing w:line="360" w:lineRule="auto"/>
        <w:ind w:firstLine="48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本《招募说明书》中除非文意另有所指，下列词语有如下含义：</w:t>
      </w:r>
    </w:p>
    <w:p w:rsidR="00A03877" w:rsidRPr="00286323" w:rsidRDefault="00A03877"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1</w:t>
      </w:r>
      <w:r w:rsidRPr="00286323">
        <w:rPr>
          <w:rFonts w:asciiTheme="minorEastAsia" w:eastAsiaTheme="minorEastAsia" w:hAnsiTheme="minorEastAsia" w:hint="eastAsia"/>
          <w:bCs/>
          <w:color w:val="000000" w:themeColor="text1"/>
        </w:rPr>
        <w:t>、基金或本基金：指易方达沪深</w:t>
      </w:r>
      <w:r w:rsidRPr="00286323">
        <w:rPr>
          <w:rFonts w:asciiTheme="minorEastAsia" w:eastAsiaTheme="minorEastAsia" w:hAnsiTheme="minorEastAsia"/>
          <w:bCs/>
          <w:color w:val="000000" w:themeColor="text1"/>
        </w:rPr>
        <w:t>300</w:t>
      </w:r>
      <w:r w:rsidRPr="00286323">
        <w:rPr>
          <w:rFonts w:asciiTheme="minorEastAsia" w:eastAsiaTheme="minorEastAsia" w:hAnsiTheme="minorEastAsia" w:hint="eastAsia"/>
          <w:bCs/>
          <w:color w:val="000000" w:themeColor="text1"/>
        </w:rPr>
        <w:t>量化增强证券投资基金</w:t>
      </w:r>
    </w:p>
    <w:p w:rsidR="00A03877" w:rsidRPr="00286323" w:rsidRDefault="00A03877"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2</w:t>
      </w:r>
      <w:r w:rsidRPr="00286323">
        <w:rPr>
          <w:rFonts w:asciiTheme="minorEastAsia" w:eastAsiaTheme="minorEastAsia" w:hAnsiTheme="minorEastAsia" w:hint="eastAsia"/>
          <w:bCs/>
          <w:color w:val="000000" w:themeColor="text1"/>
        </w:rPr>
        <w:t>、基金管理人：指易方达基金管理有限公司</w:t>
      </w:r>
    </w:p>
    <w:p w:rsidR="00A03877" w:rsidRPr="00286323" w:rsidRDefault="00A03877"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3</w:t>
      </w:r>
      <w:r w:rsidRPr="00286323">
        <w:rPr>
          <w:rFonts w:asciiTheme="minorEastAsia" w:eastAsiaTheme="minorEastAsia" w:hAnsiTheme="minorEastAsia" w:hint="eastAsia"/>
          <w:bCs/>
          <w:color w:val="000000" w:themeColor="text1"/>
        </w:rPr>
        <w:t>、基金托管人：指中国建设银行股份有限公司</w:t>
      </w:r>
    </w:p>
    <w:p w:rsidR="00A03877" w:rsidRPr="00286323" w:rsidRDefault="00A03877"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4</w:t>
      </w:r>
      <w:r w:rsidRPr="00286323">
        <w:rPr>
          <w:rFonts w:asciiTheme="minorEastAsia" w:eastAsiaTheme="minorEastAsia" w:hAnsiTheme="minorEastAsia" w:hint="eastAsia"/>
          <w:bCs/>
          <w:color w:val="000000" w:themeColor="text1"/>
        </w:rPr>
        <w:t>、基金合同：指《易方达沪深</w:t>
      </w:r>
      <w:r w:rsidRPr="00286323">
        <w:rPr>
          <w:rFonts w:asciiTheme="minorEastAsia" w:eastAsiaTheme="minorEastAsia" w:hAnsiTheme="minorEastAsia"/>
          <w:bCs/>
          <w:color w:val="000000" w:themeColor="text1"/>
        </w:rPr>
        <w:t>300</w:t>
      </w:r>
      <w:r w:rsidRPr="00286323">
        <w:rPr>
          <w:rFonts w:asciiTheme="minorEastAsia" w:eastAsiaTheme="minorEastAsia" w:hAnsiTheme="minorEastAsia" w:hint="eastAsia"/>
          <w:bCs/>
          <w:color w:val="000000" w:themeColor="text1"/>
        </w:rPr>
        <w:t>量化增强证券投资基金基金合同》及对基金合同的任何有效修订和补充</w:t>
      </w:r>
    </w:p>
    <w:p w:rsidR="00A03877" w:rsidRPr="00286323" w:rsidRDefault="00A03877"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5</w:t>
      </w:r>
      <w:r w:rsidRPr="00286323">
        <w:rPr>
          <w:rFonts w:asciiTheme="minorEastAsia" w:eastAsiaTheme="minorEastAsia" w:hAnsiTheme="minorEastAsia" w:hint="eastAsia"/>
          <w:bCs/>
          <w:color w:val="000000" w:themeColor="text1"/>
        </w:rPr>
        <w:t>、托管协议：指基金管理人与基金托管人就本基金签订之《易方达沪深</w:t>
      </w:r>
      <w:r w:rsidRPr="00286323">
        <w:rPr>
          <w:rFonts w:asciiTheme="minorEastAsia" w:eastAsiaTheme="minorEastAsia" w:hAnsiTheme="minorEastAsia"/>
          <w:bCs/>
          <w:color w:val="000000" w:themeColor="text1"/>
        </w:rPr>
        <w:t>300</w:t>
      </w:r>
      <w:r w:rsidRPr="00286323">
        <w:rPr>
          <w:rFonts w:asciiTheme="minorEastAsia" w:eastAsiaTheme="minorEastAsia" w:hAnsiTheme="minorEastAsia" w:hint="eastAsia"/>
          <w:bCs/>
          <w:color w:val="000000" w:themeColor="text1"/>
        </w:rPr>
        <w:t>量化增强证券投资基金托管协议》及对该托管协议的任何有效修订和补充</w:t>
      </w:r>
    </w:p>
    <w:p w:rsidR="00051A06" w:rsidRPr="00286323" w:rsidRDefault="00A03877" w:rsidP="00051A06">
      <w:pPr>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6</w:t>
      </w:r>
      <w:r w:rsidRPr="00286323">
        <w:rPr>
          <w:rFonts w:asciiTheme="minorEastAsia" w:eastAsiaTheme="minorEastAsia" w:hAnsiTheme="minorEastAsia" w:hint="eastAsia"/>
          <w:bCs/>
          <w:color w:val="000000" w:themeColor="text1"/>
        </w:rPr>
        <w:t>、招募说明书或本招募说明书：</w:t>
      </w:r>
      <w:r w:rsidR="00051A06" w:rsidRPr="00286323">
        <w:rPr>
          <w:rFonts w:asciiTheme="minorEastAsia" w:eastAsiaTheme="minorEastAsia" w:hAnsiTheme="minorEastAsia" w:hint="eastAsia"/>
          <w:bCs/>
          <w:color w:val="000000" w:themeColor="text1"/>
        </w:rPr>
        <w:t>指《易方达沪深</w:t>
      </w:r>
      <w:r w:rsidR="00051A06" w:rsidRPr="00286323">
        <w:rPr>
          <w:rFonts w:asciiTheme="minorEastAsia" w:eastAsiaTheme="minorEastAsia" w:hAnsiTheme="minorEastAsia"/>
          <w:bCs/>
          <w:color w:val="000000" w:themeColor="text1"/>
        </w:rPr>
        <w:t>300</w:t>
      </w:r>
      <w:r w:rsidR="00051A06" w:rsidRPr="00286323">
        <w:rPr>
          <w:rFonts w:asciiTheme="minorEastAsia" w:eastAsiaTheme="minorEastAsia" w:hAnsiTheme="minorEastAsia" w:hint="eastAsia"/>
          <w:bCs/>
          <w:color w:val="000000" w:themeColor="text1"/>
        </w:rPr>
        <w:t>量化增强证券投资基金招募说明书》及其更新</w:t>
      </w:r>
    </w:p>
    <w:p w:rsidR="00051A06" w:rsidRPr="00286323" w:rsidRDefault="00051A06" w:rsidP="006D6AC5">
      <w:pPr>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7</w:t>
      </w:r>
      <w:r w:rsidRPr="00286323">
        <w:rPr>
          <w:rFonts w:asciiTheme="minorEastAsia" w:eastAsiaTheme="minorEastAsia" w:hAnsiTheme="minorEastAsia" w:hint="eastAsia"/>
          <w:bCs/>
          <w:color w:val="000000" w:themeColor="text1"/>
        </w:rPr>
        <w:t>、基金产品资料概要：指《易方达沪深</w:t>
      </w:r>
      <w:r w:rsidRPr="00286323">
        <w:rPr>
          <w:rFonts w:asciiTheme="minorEastAsia" w:eastAsiaTheme="minorEastAsia" w:hAnsiTheme="minorEastAsia"/>
          <w:bCs/>
          <w:color w:val="000000" w:themeColor="text1"/>
        </w:rPr>
        <w:t>300</w:t>
      </w:r>
      <w:r w:rsidRPr="00286323">
        <w:rPr>
          <w:rFonts w:asciiTheme="minorEastAsia" w:eastAsiaTheme="minorEastAsia" w:hAnsiTheme="minorEastAsia" w:hint="eastAsia"/>
          <w:bCs/>
          <w:color w:val="000000" w:themeColor="text1"/>
        </w:rPr>
        <w:t>量化增强证券投资基金基金产品资料概要》及其更新</w:t>
      </w:r>
    </w:p>
    <w:p w:rsidR="002B5E93" w:rsidRPr="00286323" w:rsidRDefault="00051A06"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8</w:t>
      </w:r>
      <w:r w:rsidR="00A03877" w:rsidRPr="00286323">
        <w:rPr>
          <w:rFonts w:asciiTheme="minorEastAsia" w:eastAsiaTheme="minorEastAsia" w:hAnsiTheme="minorEastAsia" w:hint="eastAsia"/>
          <w:bCs/>
          <w:color w:val="000000" w:themeColor="text1"/>
        </w:rPr>
        <w:t>、</w:t>
      </w:r>
      <w:r w:rsidR="002B5E93" w:rsidRPr="00286323">
        <w:rPr>
          <w:rFonts w:asciiTheme="minorEastAsia" w:eastAsiaTheme="minorEastAsia" w:hAnsiTheme="minorEastAsia" w:hint="eastAsia"/>
          <w:bCs/>
          <w:color w:val="000000" w:themeColor="text1"/>
        </w:rPr>
        <w:t>标的指数：指中证指数有限公司编制并发布的沪深</w:t>
      </w:r>
      <w:r w:rsidR="002B5E93" w:rsidRPr="00286323">
        <w:rPr>
          <w:rFonts w:asciiTheme="minorEastAsia" w:eastAsiaTheme="minorEastAsia" w:hAnsiTheme="minorEastAsia"/>
          <w:bCs/>
          <w:color w:val="000000" w:themeColor="text1"/>
        </w:rPr>
        <w:t>300</w:t>
      </w:r>
      <w:r w:rsidR="002B5E93" w:rsidRPr="00286323">
        <w:rPr>
          <w:rFonts w:asciiTheme="minorEastAsia" w:eastAsiaTheme="minorEastAsia" w:hAnsiTheme="minorEastAsia" w:hint="eastAsia"/>
          <w:bCs/>
          <w:color w:val="000000" w:themeColor="text1"/>
        </w:rPr>
        <w:t>指数及其未来可能发生的变更</w:t>
      </w:r>
    </w:p>
    <w:p w:rsidR="00A03877" w:rsidRPr="00286323" w:rsidRDefault="00051A06" w:rsidP="00F71D3B">
      <w:pPr>
        <w:snapToGrid w:val="0"/>
        <w:spacing w:line="360" w:lineRule="auto"/>
        <w:ind w:firstLineChars="200" w:firstLine="420"/>
        <w:rPr>
          <w:rFonts w:asciiTheme="minorEastAsia" w:eastAsiaTheme="minorEastAsia" w:hAnsiTheme="minorEastAsia"/>
          <w:bCs/>
          <w:color w:val="000000" w:themeColor="text1"/>
          <w:sz w:val="24"/>
        </w:rPr>
      </w:pPr>
      <w:r w:rsidRPr="00286323">
        <w:rPr>
          <w:rFonts w:asciiTheme="minorEastAsia" w:eastAsiaTheme="minorEastAsia" w:hAnsiTheme="minorEastAsia"/>
          <w:bCs/>
          <w:color w:val="000000" w:themeColor="text1"/>
        </w:rPr>
        <w:t>9</w:t>
      </w:r>
      <w:r w:rsidR="00002DCA" w:rsidRPr="00286323">
        <w:rPr>
          <w:rFonts w:asciiTheme="minorEastAsia" w:eastAsiaTheme="minorEastAsia" w:hAnsiTheme="minorEastAsia" w:hint="eastAsia"/>
          <w:bCs/>
          <w:color w:val="000000" w:themeColor="text1"/>
        </w:rPr>
        <w:t>、</w:t>
      </w:r>
      <w:r w:rsidR="00A03877" w:rsidRPr="00286323">
        <w:rPr>
          <w:rFonts w:asciiTheme="minorEastAsia" w:eastAsiaTheme="minorEastAsia" w:hAnsiTheme="minorEastAsia" w:hint="eastAsia"/>
          <w:bCs/>
          <w:color w:val="000000" w:themeColor="text1"/>
        </w:rPr>
        <w:t>法律法规：指中国现行有效并公布实施的法律、行政法规、规范性文件、司法解释、行政规章以及其他对基金合同当事人有约束力的决定、决议、通知等</w:t>
      </w:r>
    </w:p>
    <w:p w:rsidR="00A03877" w:rsidRPr="00286323" w:rsidRDefault="00051A06"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10</w:t>
      </w:r>
      <w:r w:rsidR="00002DCA" w:rsidRPr="00286323">
        <w:rPr>
          <w:rFonts w:asciiTheme="minorEastAsia" w:eastAsiaTheme="minorEastAsia" w:hAnsiTheme="minorEastAsia" w:hint="eastAsia"/>
          <w:bCs/>
          <w:color w:val="000000" w:themeColor="text1"/>
        </w:rPr>
        <w:t>、</w:t>
      </w:r>
      <w:r w:rsidR="00A03877" w:rsidRPr="00286323">
        <w:rPr>
          <w:rFonts w:asciiTheme="minorEastAsia" w:eastAsiaTheme="minorEastAsia" w:hAnsiTheme="minorEastAsia" w:hint="eastAsia"/>
          <w:bCs/>
          <w:color w:val="000000" w:themeColor="text1"/>
        </w:rPr>
        <w:t>《基金法》：指</w:t>
      </w:r>
      <w:r w:rsidR="00A03877" w:rsidRPr="00286323">
        <w:rPr>
          <w:rFonts w:asciiTheme="minorEastAsia" w:eastAsiaTheme="minorEastAsia" w:hAnsiTheme="minorEastAsia"/>
          <w:bCs/>
          <w:color w:val="000000" w:themeColor="text1"/>
        </w:rPr>
        <w:t>2003</w:t>
      </w:r>
      <w:r w:rsidR="00A03877" w:rsidRPr="00286323">
        <w:rPr>
          <w:rFonts w:asciiTheme="minorEastAsia" w:eastAsiaTheme="minorEastAsia" w:hAnsiTheme="minorEastAsia" w:hint="eastAsia"/>
          <w:bCs/>
          <w:color w:val="000000" w:themeColor="text1"/>
        </w:rPr>
        <w:t>年</w:t>
      </w:r>
      <w:r w:rsidR="00A03877" w:rsidRPr="00286323">
        <w:rPr>
          <w:rFonts w:asciiTheme="minorEastAsia" w:eastAsiaTheme="minorEastAsia" w:hAnsiTheme="minorEastAsia"/>
          <w:bCs/>
          <w:color w:val="000000" w:themeColor="text1"/>
        </w:rPr>
        <w:t>10</w:t>
      </w:r>
      <w:r w:rsidR="00A03877" w:rsidRPr="00286323">
        <w:rPr>
          <w:rFonts w:asciiTheme="minorEastAsia" w:eastAsiaTheme="minorEastAsia" w:hAnsiTheme="minorEastAsia" w:hint="eastAsia"/>
          <w:bCs/>
          <w:color w:val="000000" w:themeColor="text1"/>
        </w:rPr>
        <w:t>月</w:t>
      </w:r>
      <w:r w:rsidR="00A03877" w:rsidRPr="00286323">
        <w:rPr>
          <w:rFonts w:asciiTheme="minorEastAsia" w:eastAsiaTheme="minorEastAsia" w:hAnsiTheme="minorEastAsia"/>
          <w:bCs/>
          <w:color w:val="000000" w:themeColor="text1"/>
        </w:rPr>
        <w:t>28</w:t>
      </w:r>
      <w:r w:rsidR="00A03877" w:rsidRPr="00286323">
        <w:rPr>
          <w:rFonts w:asciiTheme="minorEastAsia" w:eastAsiaTheme="minorEastAsia" w:hAnsiTheme="minorEastAsia" w:hint="eastAsia"/>
          <w:bCs/>
          <w:color w:val="000000" w:themeColor="text1"/>
        </w:rPr>
        <w:t>日经第十届全国人民代表大会常务委员会第五次会议通过，自</w:t>
      </w:r>
      <w:r w:rsidR="00A03877" w:rsidRPr="00286323">
        <w:rPr>
          <w:rFonts w:asciiTheme="minorEastAsia" w:eastAsiaTheme="minorEastAsia" w:hAnsiTheme="minorEastAsia"/>
          <w:bCs/>
          <w:color w:val="000000" w:themeColor="text1"/>
        </w:rPr>
        <w:t>2004</w:t>
      </w:r>
      <w:r w:rsidR="00A03877" w:rsidRPr="00286323">
        <w:rPr>
          <w:rFonts w:asciiTheme="minorEastAsia" w:eastAsiaTheme="minorEastAsia" w:hAnsiTheme="minorEastAsia" w:hint="eastAsia"/>
          <w:bCs/>
          <w:color w:val="000000" w:themeColor="text1"/>
        </w:rPr>
        <w:t>年</w:t>
      </w:r>
      <w:r w:rsidR="00A03877" w:rsidRPr="00286323">
        <w:rPr>
          <w:rFonts w:asciiTheme="minorEastAsia" w:eastAsiaTheme="minorEastAsia" w:hAnsiTheme="minorEastAsia"/>
          <w:bCs/>
          <w:color w:val="000000" w:themeColor="text1"/>
        </w:rPr>
        <w:t>6</w:t>
      </w:r>
      <w:r w:rsidR="00A03877" w:rsidRPr="00286323">
        <w:rPr>
          <w:rFonts w:asciiTheme="minorEastAsia" w:eastAsiaTheme="minorEastAsia" w:hAnsiTheme="minorEastAsia" w:hint="eastAsia"/>
          <w:bCs/>
          <w:color w:val="000000" w:themeColor="text1"/>
        </w:rPr>
        <w:t>月</w:t>
      </w:r>
      <w:r w:rsidR="00A03877" w:rsidRPr="00286323">
        <w:rPr>
          <w:rFonts w:asciiTheme="minorEastAsia" w:eastAsiaTheme="minorEastAsia" w:hAnsiTheme="minorEastAsia"/>
          <w:bCs/>
          <w:color w:val="000000" w:themeColor="text1"/>
        </w:rPr>
        <w:t>1</w:t>
      </w:r>
      <w:r w:rsidR="00A03877" w:rsidRPr="00286323">
        <w:rPr>
          <w:rFonts w:asciiTheme="minorEastAsia" w:eastAsiaTheme="minorEastAsia" w:hAnsiTheme="minorEastAsia" w:hint="eastAsia"/>
          <w:bCs/>
          <w:color w:val="000000" w:themeColor="text1"/>
        </w:rPr>
        <w:t>日起实施的《中华人民共和国证券投资基金法》及颁布机关对其不时做出的修订</w:t>
      </w:r>
    </w:p>
    <w:p w:rsidR="00A03877" w:rsidRPr="00286323" w:rsidRDefault="00051A06"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11</w:t>
      </w:r>
      <w:r w:rsidR="00002DCA" w:rsidRPr="00286323">
        <w:rPr>
          <w:rFonts w:asciiTheme="minorEastAsia" w:eastAsiaTheme="minorEastAsia" w:hAnsiTheme="minorEastAsia" w:hint="eastAsia"/>
          <w:bCs/>
          <w:color w:val="000000" w:themeColor="text1"/>
        </w:rPr>
        <w:t>、</w:t>
      </w:r>
      <w:r w:rsidR="00A03877" w:rsidRPr="00286323">
        <w:rPr>
          <w:rFonts w:asciiTheme="minorEastAsia" w:eastAsiaTheme="minorEastAsia" w:hAnsiTheme="minorEastAsia" w:hint="eastAsia"/>
          <w:bCs/>
          <w:color w:val="000000" w:themeColor="text1"/>
        </w:rPr>
        <w:t>《销售办法》：指中国证监会</w:t>
      </w:r>
      <w:r w:rsidR="00A03877" w:rsidRPr="00286323">
        <w:rPr>
          <w:rFonts w:asciiTheme="minorEastAsia" w:eastAsiaTheme="minorEastAsia" w:hAnsiTheme="minorEastAsia"/>
          <w:bCs/>
          <w:color w:val="000000" w:themeColor="text1"/>
        </w:rPr>
        <w:t>2011</w:t>
      </w:r>
      <w:r w:rsidR="00A03877" w:rsidRPr="00286323">
        <w:rPr>
          <w:rFonts w:asciiTheme="minorEastAsia" w:eastAsiaTheme="minorEastAsia" w:hAnsiTheme="minorEastAsia" w:hint="eastAsia"/>
          <w:bCs/>
          <w:color w:val="000000" w:themeColor="text1"/>
        </w:rPr>
        <w:t>年</w:t>
      </w:r>
      <w:r w:rsidR="00A03877" w:rsidRPr="00286323">
        <w:rPr>
          <w:rFonts w:asciiTheme="minorEastAsia" w:eastAsiaTheme="minorEastAsia" w:hAnsiTheme="minorEastAsia"/>
          <w:bCs/>
          <w:color w:val="000000" w:themeColor="text1"/>
        </w:rPr>
        <w:t>6</w:t>
      </w:r>
      <w:r w:rsidR="00A03877" w:rsidRPr="00286323">
        <w:rPr>
          <w:rFonts w:asciiTheme="minorEastAsia" w:eastAsiaTheme="minorEastAsia" w:hAnsiTheme="minorEastAsia" w:hint="eastAsia"/>
          <w:bCs/>
          <w:color w:val="000000" w:themeColor="text1"/>
        </w:rPr>
        <w:t>月</w:t>
      </w:r>
      <w:r w:rsidR="00A03877" w:rsidRPr="00286323">
        <w:rPr>
          <w:rFonts w:asciiTheme="minorEastAsia" w:eastAsiaTheme="minorEastAsia" w:hAnsiTheme="minorEastAsia"/>
          <w:bCs/>
          <w:color w:val="000000" w:themeColor="text1"/>
        </w:rPr>
        <w:t>9</w:t>
      </w:r>
      <w:r w:rsidR="00A03877" w:rsidRPr="00286323">
        <w:rPr>
          <w:rFonts w:asciiTheme="minorEastAsia" w:eastAsiaTheme="minorEastAsia" w:hAnsiTheme="minorEastAsia" w:hint="eastAsia"/>
          <w:bCs/>
          <w:color w:val="000000" w:themeColor="text1"/>
        </w:rPr>
        <w:t>日颁布、同年</w:t>
      </w:r>
      <w:r w:rsidR="00A03877" w:rsidRPr="00286323">
        <w:rPr>
          <w:rFonts w:asciiTheme="minorEastAsia" w:eastAsiaTheme="minorEastAsia" w:hAnsiTheme="minorEastAsia"/>
          <w:bCs/>
          <w:color w:val="000000" w:themeColor="text1"/>
        </w:rPr>
        <w:t>10</w:t>
      </w:r>
      <w:r w:rsidR="00A03877" w:rsidRPr="00286323">
        <w:rPr>
          <w:rFonts w:asciiTheme="minorEastAsia" w:eastAsiaTheme="minorEastAsia" w:hAnsiTheme="minorEastAsia" w:hint="eastAsia"/>
          <w:bCs/>
          <w:color w:val="000000" w:themeColor="text1"/>
        </w:rPr>
        <w:t>月</w:t>
      </w:r>
      <w:r w:rsidR="00A03877" w:rsidRPr="00286323">
        <w:rPr>
          <w:rFonts w:asciiTheme="minorEastAsia" w:eastAsiaTheme="minorEastAsia" w:hAnsiTheme="minorEastAsia"/>
          <w:bCs/>
          <w:color w:val="000000" w:themeColor="text1"/>
        </w:rPr>
        <w:t>1</w:t>
      </w:r>
      <w:r w:rsidR="00A03877" w:rsidRPr="00286323">
        <w:rPr>
          <w:rFonts w:asciiTheme="minorEastAsia" w:eastAsiaTheme="minorEastAsia" w:hAnsiTheme="minorEastAsia" w:hint="eastAsia"/>
          <w:bCs/>
          <w:color w:val="000000" w:themeColor="text1"/>
        </w:rPr>
        <w:t>日实施的《证券投资基金销售管理办法》及颁布机关对其不时做出的修订</w:t>
      </w:r>
    </w:p>
    <w:p w:rsidR="00051A06" w:rsidRPr="00286323" w:rsidRDefault="00051A06"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12</w:t>
      </w:r>
      <w:r w:rsidR="00002DCA" w:rsidRPr="00286323">
        <w:rPr>
          <w:rFonts w:asciiTheme="minorEastAsia" w:eastAsiaTheme="minorEastAsia" w:hAnsiTheme="minorEastAsia" w:hint="eastAsia"/>
          <w:bCs/>
          <w:color w:val="000000" w:themeColor="text1"/>
        </w:rPr>
        <w:t>、</w:t>
      </w:r>
      <w:r w:rsidR="00A03877" w:rsidRPr="00286323">
        <w:rPr>
          <w:rFonts w:asciiTheme="minorEastAsia" w:eastAsiaTheme="minorEastAsia" w:hAnsiTheme="minorEastAsia" w:hint="eastAsia"/>
          <w:bCs/>
          <w:color w:val="000000" w:themeColor="text1"/>
        </w:rPr>
        <w:t>《信息披露办法》：</w:t>
      </w:r>
      <w:r w:rsidRPr="00286323">
        <w:rPr>
          <w:rFonts w:asciiTheme="minorEastAsia" w:eastAsiaTheme="minorEastAsia" w:hAnsiTheme="minorEastAsia" w:hint="eastAsia"/>
          <w:bCs/>
          <w:color w:val="000000" w:themeColor="text1"/>
        </w:rPr>
        <w:t>指中国证监会</w:t>
      </w:r>
      <w:r w:rsidRPr="00286323">
        <w:rPr>
          <w:rFonts w:asciiTheme="minorEastAsia" w:eastAsiaTheme="minorEastAsia" w:hAnsiTheme="minorEastAsia"/>
          <w:bCs/>
          <w:color w:val="000000" w:themeColor="text1"/>
        </w:rPr>
        <w:t>2019</w:t>
      </w:r>
      <w:r w:rsidRPr="00286323">
        <w:rPr>
          <w:rFonts w:asciiTheme="minorEastAsia" w:eastAsiaTheme="minorEastAsia" w:hAnsiTheme="minorEastAsia" w:hint="eastAsia"/>
          <w:bCs/>
          <w:color w:val="000000" w:themeColor="text1"/>
        </w:rPr>
        <w:t>年</w:t>
      </w:r>
      <w:r w:rsidRPr="00286323">
        <w:rPr>
          <w:rFonts w:asciiTheme="minorEastAsia" w:eastAsiaTheme="minorEastAsia" w:hAnsiTheme="minorEastAsia"/>
          <w:bCs/>
          <w:color w:val="000000" w:themeColor="text1"/>
        </w:rPr>
        <w:t>7</w:t>
      </w:r>
      <w:r w:rsidRPr="00286323">
        <w:rPr>
          <w:rFonts w:asciiTheme="minorEastAsia" w:eastAsiaTheme="minorEastAsia" w:hAnsiTheme="minorEastAsia" w:hint="eastAsia"/>
          <w:bCs/>
          <w:color w:val="000000" w:themeColor="text1"/>
        </w:rPr>
        <w:t>月</w:t>
      </w:r>
      <w:r w:rsidRPr="00286323">
        <w:rPr>
          <w:rFonts w:asciiTheme="minorEastAsia" w:eastAsiaTheme="minorEastAsia" w:hAnsiTheme="minorEastAsia"/>
          <w:bCs/>
          <w:color w:val="000000" w:themeColor="text1"/>
        </w:rPr>
        <w:t>26</w:t>
      </w:r>
      <w:r w:rsidRPr="00286323">
        <w:rPr>
          <w:rFonts w:asciiTheme="minorEastAsia" w:eastAsiaTheme="minorEastAsia" w:hAnsiTheme="minorEastAsia" w:hint="eastAsia"/>
          <w:bCs/>
          <w:color w:val="000000" w:themeColor="text1"/>
        </w:rPr>
        <w:t>日颁布、同年</w:t>
      </w:r>
      <w:r w:rsidRPr="00286323">
        <w:rPr>
          <w:rFonts w:asciiTheme="minorEastAsia" w:eastAsiaTheme="minorEastAsia" w:hAnsiTheme="minorEastAsia"/>
          <w:bCs/>
          <w:color w:val="000000" w:themeColor="text1"/>
        </w:rPr>
        <w:t>9</w:t>
      </w:r>
      <w:r w:rsidRPr="00286323">
        <w:rPr>
          <w:rFonts w:asciiTheme="minorEastAsia" w:eastAsiaTheme="minorEastAsia" w:hAnsiTheme="minorEastAsia" w:hint="eastAsia"/>
          <w:bCs/>
          <w:color w:val="000000" w:themeColor="text1"/>
        </w:rPr>
        <w:t>月</w:t>
      </w:r>
      <w:r w:rsidRPr="00286323">
        <w:rPr>
          <w:rFonts w:asciiTheme="minorEastAsia" w:eastAsiaTheme="minorEastAsia" w:hAnsiTheme="minorEastAsia"/>
          <w:bCs/>
          <w:color w:val="000000" w:themeColor="text1"/>
        </w:rPr>
        <w:t>1</w:t>
      </w:r>
      <w:r w:rsidRPr="00286323">
        <w:rPr>
          <w:rFonts w:asciiTheme="minorEastAsia" w:eastAsiaTheme="minorEastAsia" w:hAnsiTheme="minorEastAsia" w:hint="eastAsia"/>
          <w:bCs/>
          <w:color w:val="000000" w:themeColor="text1"/>
        </w:rPr>
        <w:t>日实施的《公开募集证券投资基金信息披露管理办法》及颁布机关对其不时做出的修订</w:t>
      </w:r>
    </w:p>
    <w:p w:rsidR="00A03877" w:rsidRPr="00286323" w:rsidRDefault="00002DCA"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1</w:t>
      </w:r>
      <w:r w:rsidR="00051A06" w:rsidRPr="00286323">
        <w:rPr>
          <w:rFonts w:asciiTheme="minorEastAsia" w:eastAsiaTheme="minorEastAsia" w:hAnsiTheme="minorEastAsia"/>
          <w:bCs/>
          <w:color w:val="000000" w:themeColor="text1"/>
        </w:rPr>
        <w:t>3</w:t>
      </w:r>
      <w:r w:rsidRPr="00286323">
        <w:rPr>
          <w:rFonts w:asciiTheme="minorEastAsia" w:eastAsiaTheme="minorEastAsia" w:hAnsiTheme="minorEastAsia" w:hint="eastAsia"/>
          <w:bCs/>
          <w:color w:val="000000" w:themeColor="text1"/>
        </w:rPr>
        <w:t>、</w:t>
      </w:r>
      <w:r w:rsidR="00A03877" w:rsidRPr="00286323">
        <w:rPr>
          <w:rFonts w:asciiTheme="minorEastAsia" w:eastAsiaTheme="minorEastAsia" w:hAnsiTheme="minorEastAsia" w:hint="eastAsia"/>
          <w:bCs/>
          <w:color w:val="000000" w:themeColor="text1"/>
        </w:rPr>
        <w:t>《运作办法》：指中国证监会</w:t>
      </w:r>
      <w:r w:rsidR="00A03877" w:rsidRPr="00286323">
        <w:rPr>
          <w:rFonts w:asciiTheme="minorEastAsia" w:eastAsiaTheme="minorEastAsia" w:hAnsiTheme="minorEastAsia"/>
          <w:bCs/>
          <w:color w:val="000000" w:themeColor="text1"/>
        </w:rPr>
        <w:t>2004</w:t>
      </w:r>
      <w:r w:rsidR="00A03877" w:rsidRPr="00286323">
        <w:rPr>
          <w:rFonts w:asciiTheme="minorEastAsia" w:eastAsiaTheme="minorEastAsia" w:hAnsiTheme="minorEastAsia" w:hint="eastAsia"/>
          <w:bCs/>
          <w:color w:val="000000" w:themeColor="text1"/>
        </w:rPr>
        <w:t>年</w:t>
      </w:r>
      <w:r w:rsidR="00A03877" w:rsidRPr="00286323">
        <w:rPr>
          <w:rFonts w:asciiTheme="minorEastAsia" w:eastAsiaTheme="minorEastAsia" w:hAnsiTheme="minorEastAsia"/>
          <w:bCs/>
          <w:color w:val="000000" w:themeColor="text1"/>
        </w:rPr>
        <w:t>6</w:t>
      </w:r>
      <w:r w:rsidR="00A03877" w:rsidRPr="00286323">
        <w:rPr>
          <w:rFonts w:asciiTheme="minorEastAsia" w:eastAsiaTheme="minorEastAsia" w:hAnsiTheme="minorEastAsia" w:hint="eastAsia"/>
          <w:bCs/>
          <w:color w:val="000000" w:themeColor="text1"/>
        </w:rPr>
        <w:t>月</w:t>
      </w:r>
      <w:r w:rsidR="00A03877" w:rsidRPr="00286323">
        <w:rPr>
          <w:rFonts w:asciiTheme="minorEastAsia" w:eastAsiaTheme="minorEastAsia" w:hAnsiTheme="minorEastAsia"/>
          <w:bCs/>
          <w:color w:val="000000" w:themeColor="text1"/>
        </w:rPr>
        <w:t>29</w:t>
      </w:r>
      <w:r w:rsidR="00A03877" w:rsidRPr="00286323">
        <w:rPr>
          <w:rFonts w:asciiTheme="minorEastAsia" w:eastAsiaTheme="minorEastAsia" w:hAnsiTheme="minorEastAsia" w:hint="eastAsia"/>
          <w:bCs/>
          <w:color w:val="000000" w:themeColor="text1"/>
        </w:rPr>
        <w:t>日颁布、同年</w:t>
      </w:r>
      <w:r w:rsidR="00A03877" w:rsidRPr="00286323">
        <w:rPr>
          <w:rFonts w:asciiTheme="minorEastAsia" w:eastAsiaTheme="minorEastAsia" w:hAnsiTheme="minorEastAsia"/>
          <w:bCs/>
          <w:color w:val="000000" w:themeColor="text1"/>
        </w:rPr>
        <w:t>7</w:t>
      </w:r>
      <w:r w:rsidR="00A03877" w:rsidRPr="00286323">
        <w:rPr>
          <w:rFonts w:asciiTheme="minorEastAsia" w:eastAsiaTheme="minorEastAsia" w:hAnsiTheme="minorEastAsia" w:hint="eastAsia"/>
          <w:bCs/>
          <w:color w:val="000000" w:themeColor="text1"/>
        </w:rPr>
        <w:t>月</w:t>
      </w:r>
      <w:r w:rsidR="00A03877" w:rsidRPr="00286323">
        <w:rPr>
          <w:rFonts w:asciiTheme="minorEastAsia" w:eastAsiaTheme="minorEastAsia" w:hAnsiTheme="minorEastAsia"/>
          <w:bCs/>
          <w:color w:val="000000" w:themeColor="text1"/>
        </w:rPr>
        <w:t>1</w:t>
      </w:r>
      <w:r w:rsidR="00A03877" w:rsidRPr="00286323">
        <w:rPr>
          <w:rFonts w:asciiTheme="minorEastAsia" w:eastAsiaTheme="minorEastAsia" w:hAnsiTheme="minorEastAsia" w:hint="eastAsia"/>
          <w:bCs/>
          <w:color w:val="000000" w:themeColor="text1"/>
        </w:rPr>
        <w:t>日实施的《证券投资基金运作管理办法》及颁布机关对其不时做出的修订</w:t>
      </w:r>
    </w:p>
    <w:p w:rsidR="00E80743" w:rsidRPr="00286323" w:rsidRDefault="00051A06"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1</w:t>
      </w:r>
      <w:r w:rsidRPr="00286323">
        <w:rPr>
          <w:rFonts w:asciiTheme="minorEastAsia" w:eastAsiaTheme="minorEastAsia" w:hAnsiTheme="minorEastAsia"/>
          <w:bCs/>
          <w:color w:val="000000" w:themeColor="text1"/>
        </w:rPr>
        <w:t>4</w:t>
      </w:r>
      <w:r w:rsidR="00E80743" w:rsidRPr="00286323">
        <w:rPr>
          <w:rFonts w:asciiTheme="minorEastAsia" w:eastAsiaTheme="minorEastAsia" w:hAnsiTheme="minorEastAsia" w:hint="eastAsia"/>
          <w:bCs/>
          <w:color w:val="000000" w:themeColor="text1"/>
        </w:rPr>
        <w:t>、《管理规定》：指中国证监会2017年8月31日颁布、同年10月1日实施的《公开募集开放式证券投资基金流动性风险管理规定》及颁布机关对其不时做出的修订</w:t>
      </w:r>
    </w:p>
    <w:p w:rsidR="007C2A47" w:rsidRPr="00286323" w:rsidRDefault="007C2A47" w:rsidP="007C2A47">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15</w:t>
      </w:r>
      <w:r w:rsidRPr="00286323">
        <w:rPr>
          <w:rFonts w:asciiTheme="minorEastAsia" w:eastAsiaTheme="minorEastAsia" w:hAnsiTheme="minorEastAsia" w:hint="eastAsia"/>
          <w:bCs/>
          <w:color w:val="000000" w:themeColor="text1"/>
        </w:rPr>
        <w:t>、《指数基金指引》：指中国证监会2021年1月22日颁布、同年2月1日实施的《公开募集证券投资基金运作指引第3号——指数基金指引》及颁布机关对其不时做出的修订</w:t>
      </w:r>
    </w:p>
    <w:p w:rsidR="007C2A47" w:rsidRPr="00286323" w:rsidRDefault="007C2A47" w:rsidP="007C2A47">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1</w:t>
      </w:r>
      <w:r w:rsidRPr="00286323">
        <w:rPr>
          <w:rFonts w:asciiTheme="minorEastAsia" w:eastAsiaTheme="minorEastAsia" w:hAnsiTheme="minorEastAsia"/>
          <w:bCs/>
          <w:color w:val="000000" w:themeColor="text1"/>
        </w:rPr>
        <w:t>6</w:t>
      </w:r>
      <w:r w:rsidRPr="00286323">
        <w:rPr>
          <w:rFonts w:asciiTheme="minorEastAsia" w:eastAsiaTheme="minorEastAsia" w:hAnsiTheme="minorEastAsia" w:hint="eastAsia"/>
          <w:bCs/>
          <w:color w:val="000000" w:themeColor="text1"/>
        </w:rPr>
        <w:t>、中国证监会：指中国证券监督管理委员会</w:t>
      </w:r>
    </w:p>
    <w:p w:rsidR="007C2A47" w:rsidRPr="00286323" w:rsidRDefault="007C2A47" w:rsidP="007C2A47">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lastRenderedPageBreak/>
        <w:t>17</w:t>
      </w:r>
      <w:r w:rsidRPr="00286323">
        <w:rPr>
          <w:rFonts w:asciiTheme="minorEastAsia" w:eastAsiaTheme="minorEastAsia" w:hAnsiTheme="minorEastAsia" w:hint="eastAsia"/>
          <w:bCs/>
          <w:color w:val="000000" w:themeColor="text1"/>
        </w:rPr>
        <w:t>、银行业监督管理机构：指中国人民银行和</w:t>
      </w:r>
      <w:r w:rsidRPr="00286323">
        <w:rPr>
          <w:rFonts w:asciiTheme="minorEastAsia" w:eastAsiaTheme="minorEastAsia" w:hAnsiTheme="minorEastAsia"/>
          <w:bCs/>
          <w:color w:val="000000" w:themeColor="text1"/>
        </w:rPr>
        <w:t>/</w:t>
      </w:r>
      <w:r w:rsidRPr="00286323">
        <w:rPr>
          <w:rFonts w:asciiTheme="minorEastAsia" w:eastAsiaTheme="minorEastAsia" w:hAnsiTheme="minorEastAsia" w:hint="eastAsia"/>
          <w:bCs/>
          <w:color w:val="000000" w:themeColor="text1"/>
        </w:rPr>
        <w:t>或中国银行保险监督管理委员会</w:t>
      </w:r>
    </w:p>
    <w:p w:rsidR="007C2A47" w:rsidRPr="00286323" w:rsidRDefault="007C2A47" w:rsidP="007C2A47">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18</w:t>
      </w:r>
      <w:r w:rsidRPr="00286323">
        <w:rPr>
          <w:rFonts w:asciiTheme="minorEastAsia" w:eastAsiaTheme="minorEastAsia" w:hAnsiTheme="minorEastAsia" w:hint="eastAsia"/>
          <w:bCs/>
          <w:color w:val="000000" w:themeColor="text1"/>
        </w:rPr>
        <w:t>、基金合同当事人：指受基金合同约束，根据基金合同享有权利并承担义务的法律主体，包括基金管理人、基金托管人和基金份额持有人</w:t>
      </w:r>
    </w:p>
    <w:p w:rsidR="007C2A47" w:rsidRPr="00286323" w:rsidRDefault="007C2A47" w:rsidP="007C2A47">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19</w:t>
      </w:r>
      <w:r w:rsidRPr="00286323">
        <w:rPr>
          <w:rFonts w:asciiTheme="minorEastAsia" w:eastAsiaTheme="minorEastAsia" w:hAnsiTheme="minorEastAsia" w:hint="eastAsia"/>
          <w:bCs/>
          <w:color w:val="000000" w:themeColor="text1"/>
        </w:rPr>
        <w:t>、个人投资者：指依据有关法律法规规定可投资于证券投资基金的自然人</w:t>
      </w:r>
    </w:p>
    <w:p w:rsidR="007C2A47" w:rsidRPr="00286323" w:rsidRDefault="007C2A47" w:rsidP="007C2A47">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20</w:t>
      </w:r>
      <w:r w:rsidRPr="00286323">
        <w:rPr>
          <w:rFonts w:asciiTheme="minorEastAsia" w:eastAsiaTheme="minorEastAsia" w:hAnsiTheme="minorEastAsia" w:hint="eastAsia"/>
          <w:bCs/>
          <w:color w:val="000000" w:themeColor="text1"/>
        </w:rPr>
        <w:t>、机构投资者：指依法可以投资证券投资基金的、在中华人民共和国境内合法登记并存续或经有关政府部门批准设立并存续的企业法人、事业法人、社会团体或其他组织</w:t>
      </w:r>
    </w:p>
    <w:p w:rsidR="007C2A47" w:rsidRPr="00286323" w:rsidRDefault="007C2A47" w:rsidP="007C2A47">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21</w:t>
      </w:r>
      <w:r w:rsidRPr="00286323">
        <w:rPr>
          <w:rFonts w:asciiTheme="minorEastAsia" w:eastAsiaTheme="minorEastAsia" w:hAnsiTheme="minorEastAsia" w:hint="eastAsia"/>
          <w:bCs/>
          <w:color w:val="000000" w:themeColor="text1"/>
        </w:rPr>
        <w:t>、合格境外机构投资者：指符合现实有效的相关法律法规规定可以投资于中国境内证券市场的中国境外的机构投资者</w:t>
      </w:r>
    </w:p>
    <w:p w:rsidR="007C2A47" w:rsidRPr="00286323" w:rsidRDefault="007C2A47" w:rsidP="007C2A47">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2</w:t>
      </w:r>
      <w:r w:rsidRPr="00286323">
        <w:rPr>
          <w:rFonts w:asciiTheme="minorEastAsia" w:eastAsiaTheme="minorEastAsia" w:hAnsiTheme="minorEastAsia"/>
          <w:bCs/>
          <w:color w:val="000000" w:themeColor="text1"/>
        </w:rPr>
        <w:t>2</w:t>
      </w:r>
      <w:r w:rsidRPr="00286323">
        <w:rPr>
          <w:rFonts w:asciiTheme="minorEastAsia" w:eastAsiaTheme="minorEastAsia" w:hAnsiTheme="minorEastAsia" w:hint="eastAsia"/>
          <w:bCs/>
          <w:color w:val="000000" w:themeColor="text1"/>
        </w:rPr>
        <w:t>、投资人：指个人投资者、机构投资者和合格境外机构投资者以及法律法规或中国证监会允许购买证券投资基金的其他投资人的合称</w:t>
      </w:r>
    </w:p>
    <w:p w:rsidR="007C2A47" w:rsidRPr="00286323" w:rsidRDefault="007C2A47" w:rsidP="007C2A47">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23</w:t>
      </w:r>
      <w:r w:rsidRPr="00286323">
        <w:rPr>
          <w:rFonts w:asciiTheme="minorEastAsia" w:eastAsiaTheme="minorEastAsia" w:hAnsiTheme="minorEastAsia" w:hint="eastAsia"/>
          <w:bCs/>
          <w:color w:val="000000" w:themeColor="text1"/>
        </w:rPr>
        <w:t>、基金份额持有人：指依基金合同和招募说明书合法取得基金份额的投资人</w:t>
      </w:r>
    </w:p>
    <w:p w:rsidR="007C2A47" w:rsidRPr="00286323" w:rsidRDefault="007C2A47" w:rsidP="007C2A47">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24</w:t>
      </w:r>
      <w:r w:rsidRPr="00286323">
        <w:rPr>
          <w:rFonts w:asciiTheme="minorEastAsia" w:eastAsiaTheme="minorEastAsia" w:hAnsiTheme="minorEastAsia" w:hint="eastAsia"/>
          <w:bCs/>
          <w:color w:val="000000" w:themeColor="text1"/>
        </w:rPr>
        <w:t>、基金销售业务：指基金管理人或销售机构宣传推介基金，发售基金份额，办理基金份额的申购、赎回、转换、非交易过户、转托管及定期定额投资等业务</w:t>
      </w:r>
    </w:p>
    <w:p w:rsidR="007C2A47" w:rsidRPr="00286323" w:rsidRDefault="007C2A47" w:rsidP="007C2A47">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25</w:t>
      </w:r>
      <w:r w:rsidRPr="00286323">
        <w:rPr>
          <w:rFonts w:asciiTheme="minorEastAsia" w:eastAsiaTheme="minorEastAsia" w:hAnsiTheme="minorEastAsia" w:hint="eastAsia"/>
          <w:bCs/>
          <w:color w:val="000000" w:themeColor="text1"/>
        </w:rPr>
        <w:t>、销售机构：指易方达基金管理有限公司以及符合《销售办法》和中国证监会规定的其他条件，取得基金</w:t>
      </w:r>
      <w:r w:rsidRPr="00286323">
        <w:rPr>
          <w:rFonts w:asciiTheme="minorEastAsia" w:eastAsiaTheme="minorEastAsia" w:hAnsiTheme="minorEastAsia" w:hint="eastAsia"/>
          <w:color w:val="000000" w:themeColor="text1"/>
        </w:rPr>
        <w:t>销售</w:t>
      </w:r>
      <w:r w:rsidRPr="00286323">
        <w:rPr>
          <w:rFonts w:asciiTheme="minorEastAsia" w:eastAsiaTheme="minorEastAsia" w:hAnsiTheme="minorEastAsia" w:hint="eastAsia"/>
          <w:bCs/>
          <w:color w:val="000000" w:themeColor="text1"/>
        </w:rPr>
        <w:t>业务资格</w:t>
      </w:r>
      <w:r w:rsidRPr="00286323">
        <w:rPr>
          <w:rFonts w:asciiTheme="minorEastAsia" w:eastAsiaTheme="minorEastAsia" w:hAnsiTheme="minorEastAsia" w:hint="eastAsia"/>
          <w:color w:val="000000" w:themeColor="text1"/>
        </w:rPr>
        <w:t>并与基金管理人签订了基金销售服务协议</w:t>
      </w:r>
      <w:r w:rsidRPr="00286323">
        <w:rPr>
          <w:rFonts w:asciiTheme="minorEastAsia" w:eastAsiaTheme="minorEastAsia" w:hAnsiTheme="minorEastAsia" w:hint="eastAsia"/>
          <w:bCs/>
          <w:color w:val="000000" w:themeColor="text1"/>
        </w:rPr>
        <w:t>，办理基金销售业务的机构</w:t>
      </w:r>
    </w:p>
    <w:p w:rsidR="007C2A47" w:rsidRPr="00286323" w:rsidRDefault="007C2A47" w:rsidP="007C2A47">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26</w:t>
      </w:r>
      <w:r w:rsidRPr="00286323">
        <w:rPr>
          <w:rFonts w:asciiTheme="minorEastAsia" w:eastAsiaTheme="minorEastAsia" w:hAnsiTheme="minorEastAsia" w:hint="eastAsia"/>
          <w:bCs/>
          <w:color w:val="000000" w:themeColor="text1"/>
        </w:rPr>
        <w:t>、注册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7C2A47" w:rsidRPr="00286323" w:rsidRDefault="007C2A47" w:rsidP="007C2A47">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27</w:t>
      </w:r>
      <w:r w:rsidRPr="00286323">
        <w:rPr>
          <w:rFonts w:asciiTheme="minorEastAsia" w:eastAsiaTheme="minorEastAsia" w:hAnsiTheme="minorEastAsia" w:hint="eastAsia"/>
          <w:bCs/>
          <w:color w:val="000000" w:themeColor="text1"/>
        </w:rPr>
        <w:t>、注册登记机构：指办理注册登记业务的机构。本基金的注册登记机构为易方达基金管理有限公司或接受易方达基金管理有限公司委托代为办理登记业务的机构</w:t>
      </w:r>
    </w:p>
    <w:p w:rsidR="007C2A47" w:rsidRPr="00286323" w:rsidRDefault="007C2A47" w:rsidP="007C2A47">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28</w:t>
      </w:r>
      <w:r w:rsidRPr="00286323">
        <w:rPr>
          <w:rFonts w:asciiTheme="minorEastAsia" w:eastAsiaTheme="minorEastAsia" w:hAnsiTheme="minorEastAsia" w:hint="eastAsia"/>
          <w:bCs/>
          <w:color w:val="000000" w:themeColor="text1"/>
        </w:rPr>
        <w:t>、基金账户：指注册登记机构为投资人开立的、记录其持有的、基金管理人所管理的基金份额余额及其变动情况的账户</w:t>
      </w:r>
    </w:p>
    <w:p w:rsidR="007C2A47" w:rsidRPr="00286323" w:rsidRDefault="007C2A47" w:rsidP="007C2A47">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29</w:t>
      </w:r>
      <w:r w:rsidRPr="00286323">
        <w:rPr>
          <w:rFonts w:asciiTheme="minorEastAsia" w:eastAsiaTheme="minorEastAsia" w:hAnsiTheme="minorEastAsia" w:hint="eastAsia"/>
          <w:bCs/>
          <w:color w:val="000000" w:themeColor="text1"/>
        </w:rPr>
        <w:t>、基金交易账户：指销售机构为投资人开立的、记录投资人通过该销售机构买卖基金的基金份额变动及结余情况的账户</w:t>
      </w:r>
    </w:p>
    <w:p w:rsidR="007C2A47" w:rsidRPr="00286323" w:rsidRDefault="007C2A47" w:rsidP="007C2A47">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30</w:t>
      </w:r>
      <w:r w:rsidRPr="00286323">
        <w:rPr>
          <w:rFonts w:asciiTheme="minorEastAsia" w:eastAsiaTheme="minorEastAsia" w:hAnsiTheme="minorEastAsia" w:hint="eastAsia"/>
          <w:bCs/>
          <w:color w:val="000000" w:themeColor="text1"/>
        </w:rPr>
        <w:t>、基金合同生效日：指基金募集达到法律法规规定及基金合同规定的条件，基金管理人向中国证监会办理基金备案手续完毕，并获得中国证监会书面确认的日期</w:t>
      </w:r>
    </w:p>
    <w:p w:rsidR="007C2A47" w:rsidRPr="00286323" w:rsidRDefault="007C2A47" w:rsidP="007C2A47">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31</w:t>
      </w:r>
      <w:r w:rsidRPr="00286323">
        <w:rPr>
          <w:rFonts w:asciiTheme="minorEastAsia" w:eastAsiaTheme="minorEastAsia" w:hAnsiTheme="minorEastAsia" w:hint="eastAsia"/>
          <w:bCs/>
          <w:color w:val="000000" w:themeColor="text1"/>
        </w:rPr>
        <w:t>、基金合同终止日：指基金合同规定的基金合同终止事由出现后，基金财产清算完毕，清算结果报中国证监会备案并予以公告的日期</w:t>
      </w:r>
    </w:p>
    <w:p w:rsidR="007C2A47" w:rsidRPr="00286323" w:rsidRDefault="007C2A47" w:rsidP="007C2A47">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3</w:t>
      </w:r>
      <w:r w:rsidRPr="00286323">
        <w:rPr>
          <w:rFonts w:asciiTheme="minorEastAsia" w:eastAsiaTheme="minorEastAsia" w:hAnsiTheme="minorEastAsia"/>
          <w:bCs/>
          <w:color w:val="000000" w:themeColor="text1"/>
        </w:rPr>
        <w:t>2</w:t>
      </w:r>
      <w:r w:rsidRPr="00286323">
        <w:rPr>
          <w:rFonts w:asciiTheme="minorEastAsia" w:eastAsiaTheme="minorEastAsia" w:hAnsiTheme="minorEastAsia" w:hint="eastAsia"/>
          <w:bCs/>
          <w:color w:val="000000" w:themeColor="text1"/>
        </w:rPr>
        <w:t>、存续期：指基金合同生效至终止之间的不定期期限</w:t>
      </w:r>
    </w:p>
    <w:p w:rsidR="007C2A47" w:rsidRPr="00286323" w:rsidRDefault="007C2A47" w:rsidP="007C2A47">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3</w:t>
      </w:r>
      <w:r w:rsidRPr="00286323">
        <w:rPr>
          <w:rFonts w:asciiTheme="minorEastAsia" w:eastAsiaTheme="minorEastAsia" w:hAnsiTheme="minorEastAsia"/>
          <w:bCs/>
          <w:color w:val="000000" w:themeColor="text1"/>
        </w:rPr>
        <w:t>3</w:t>
      </w:r>
      <w:r w:rsidRPr="00286323">
        <w:rPr>
          <w:rFonts w:asciiTheme="minorEastAsia" w:eastAsiaTheme="minorEastAsia" w:hAnsiTheme="minorEastAsia" w:hint="eastAsia"/>
          <w:bCs/>
          <w:color w:val="000000" w:themeColor="text1"/>
        </w:rPr>
        <w:t>、工作日：指上海证券交易所、深圳证券交易所的正常交易日</w:t>
      </w:r>
    </w:p>
    <w:p w:rsidR="007C2A47" w:rsidRPr="00286323" w:rsidRDefault="007C2A47" w:rsidP="007C2A47">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34</w:t>
      </w: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T</w:t>
      </w:r>
      <w:r w:rsidRPr="00286323">
        <w:rPr>
          <w:rFonts w:asciiTheme="minorEastAsia" w:eastAsiaTheme="minorEastAsia" w:hAnsiTheme="minorEastAsia" w:hint="eastAsia"/>
          <w:bCs/>
          <w:color w:val="000000" w:themeColor="text1"/>
        </w:rPr>
        <w:t>日：指销售机构在规定时间受理投资人申购、赎回或其他业务申请的开放日</w:t>
      </w:r>
    </w:p>
    <w:p w:rsidR="007C2A47" w:rsidRPr="00286323" w:rsidRDefault="007C2A47" w:rsidP="007C2A47">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35</w:t>
      </w: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T+n</w:t>
      </w:r>
      <w:r w:rsidRPr="00286323">
        <w:rPr>
          <w:rFonts w:asciiTheme="minorEastAsia" w:eastAsiaTheme="minorEastAsia" w:hAnsiTheme="minorEastAsia" w:hint="eastAsia"/>
          <w:bCs/>
          <w:color w:val="000000" w:themeColor="text1"/>
        </w:rPr>
        <w:t>日：指自</w:t>
      </w:r>
      <w:r w:rsidRPr="00286323">
        <w:rPr>
          <w:rFonts w:asciiTheme="minorEastAsia" w:eastAsiaTheme="minorEastAsia" w:hAnsiTheme="minorEastAsia"/>
          <w:bCs/>
          <w:color w:val="000000" w:themeColor="text1"/>
        </w:rPr>
        <w:t>T</w:t>
      </w:r>
      <w:r w:rsidRPr="00286323">
        <w:rPr>
          <w:rFonts w:asciiTheme="minorEastAsia" w:eastAsiaTheme="minorEastAsia" w:hAnsiTheme="minorEastAsia" w:hint="eastAsia"/>
          <w:bCs/>
          <w:color w:val="000000" w:themeColor="text1"/>
        </w:rPr>
        <w:t>日起第</w:t>
      </w:r>
      <w:r w:rsidRPr="00286323">
        <w:rPr>
          <w:rFonts w:asciiTheme="minorEastAsia" w:eastAsiaTheme="minorEastAsia" w:hAnsiTheme="minorEastAsia"/>
          <w:bCs/>
          <w:color w:val="000000" w:themeColor="text1"/>
        </w:rPr>
        <w:t>n</w:t>
      </w:r>
      <w:r w:rsidRPr="00286323">
        <w:rPr>
          <w:rFonts w:asciiTheme="minorEastAsia" w:eastAsiaTheme="minorEastAsia" w:hAnsiTheme="minorEastAsia" w:hint="eastAsia"/>
          <w:bCs/>
          <w:color w:val="000000" w:themeColor="text1"/>
        </w:rPr>
        <w:t>个工作日</w:t>
      </w:r>
      <w:r w:rsidRPr="00286323">
        <w:rPr>
          <w:rFonts w:asciiTheme="minorEastAsia" w:eastAsiaTheme="minorEastAsia" w:hAnsiTheme="minorEastAsia"/>
          <w:bCs/>
          <w:color w:val="000000" w:themeColor="text1"/>
        </w:rPr>
        <w:t>(</w:t>
      </w:r>
      <w:r w:rsidRPr="00286323">
        <w:rPr>
          <w:rFonts w:asciiTheme="minorEastAsia" w:eastAsiaTheme="minorEastAsia" w:hAnsiTheme="minorEastAsia" w:hint="eastAsia"/>
          <w:bCs/>
          <w:color w:val="000000" w:themeColor="text1"/>
        </w:rPr>
        <w:t>不包含</w:t>
      </w:r>
      <w:r w:rsidRPr="00286323">
        <w:rPr>
          <w:rFonts w:asciiTheme="minorEastAsia" w:eastAsiaTheme="minorEastAsia" w:hAnsiTheme="minorEastAsia"/>
          <w:bCs/>
          <w:color w:val="000000" w:themeColor="text1"/>
        </w:rPr>
        <w:t>T</w:t>
      </w:r>
      <w:r w:rsidRPr="00286323">
        <w:rPr>
          <w:rFonts w:asciiTheme="minorEastAsia" w:eastAsiaTheme="minorEastAsia" w:hAnsiTheme="minorEastAsia" w:hint="eastAsia"/>
          <w:bCs/>
          <w:color w:val="000000" w:themeColor="text1"/>
        </w:rPr>
        <w:t>日</w:t>
      </w:r>
      <w:r w:rsidRPr="00286323">
        <w:rPr>
          <w:rFonts w:asciiTheme="minorEastAsia" w:eastAsiaTheme="minorEastAsia" w:hAnsiTheme="minorEastAsia"/>
          <w:bCs/>
          <w:color w:val="000000" w:themeColor="text1"/>
        </w:rPr>
        <w:t>)</w:t>
      </w: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n</w:t>
      </w:r>
      <w:r w:rsidRPr="00286323">
        <w:rPr>
          <w:rFonts w:asciiTheme="minorEastAsia" w:eastAsiaTheme="minorEastAsia" w:hAnsiTheme="minorEastAsia" w:hint="eastAsia"/>
          <w:bCs/>
          <w:color w:val="000000" w:themeColor="text1"/>
        </w:rPr>
        <w:t>为自然数</w:t>
      </w:r>
    </w:p>
    <w:p w:rsidR="007C2A47" w:rsidRPr="00286323" w:rsidRDefault="007C2A47" w:rsidP="007C2A47">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lastRenderedPageBreak/>
        <w:t>36</w:t>
      </w:r>
      <w:r w:rsidRPr="00286323">
        <w:rPr>
          <w:rFonts w:asciiTheme="minorEastAsia" w:eastAsiaTheme="minorEastAsia" w:hAnsiTheme="minorEastAsia" w:hint="eastAsia"/>
          <w:bCs/>
          <w:color w:val="000000" w:themeColor="text1"/>
        </w:rPr>
        <w:t>、开放日：指为投资人办理基金份额申购、赎回或其他业务的工作日</w:t>
      </w:r>
    </w:p>
    <w:p w:rsidR="007C2A47" w:rsidRPr="00286323" w:rsidRDefault="007C2A47" w:rsidP="007C2A47">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37</w:t>
      </w:r>
      <w:r w:rsidRPr="00286323">
        <w:rPr>
          <w:rFonts w:asciiTheme="minorEastAsia" w:eastAsiaTheme="minorEastAsia" w:hAnsiTheme="minorEastAsia" w:hint="eastAsia"/>
          <w:bCs/>
          <w:color w:val="000000" w:themeColor="text1"/>
        </w:rPr>
        <w:t>、开放时间：指开放日基金接受申购、赎回或其他交易的时间段</w:t>
      </w:r>
    </w:p>
    <w:p w:rsidR="007C2A47" w:rsidRPr="00286323" w:rsidRDefault="007C2A47" w:rsidP="007C2A47">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38</w:t>
      </w:r>
      <w:r w:rsidRPr="00286323">
        <w:rPr>
          <w:rFonts w:asciiTheme="minorEastAsia" w:eastAsiaTheme="minorEastAsia" w:hAnsiTheme="minorEastAsia" w:hint="eastAsia"/>
          <w:bCs/>
          <w:color w:val="000000" w:themeColor="text1"/>
        </w:rPr>
        <w:t>、《业务规则》：指《易方达基金管理有限公司开放式基金业务规则》，是规范基金管理人所管理的开放式证券投资基金注册登记方面的业务规则，由基金管理人和投资人共同遵守</w:t>
      </w:r>
    </w:p>
    <w:p w:rsidR="007C2A47" w:rsidRPr="00286323" w:rsidRDefault="007C2A47" w:rsidP="007C2A47">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39</w:t>
      </w:r>
      <w:r w:rsidRPr="00286323">
        <w:rPr>
          <w:rFonts w:asciiTheme="minorEastAsia" w:eastAsiaTheme="minorEastAsia" w:hAnsiTheme="minorEastAsia" w:hint="eastAsia"/>
          <w:bCs/>
          <w:color w:val="000000" w:themeColor="text1"/>
        </w:rPr>
        <w:t>、认购：指在基金募集期内，投资人申请购买基金份额的行为</w:t>
      </w:r>
    </w:p>
    <w:p w:rsidR="007C2A47" w:rsidRPr="00286323" w:rsidRDefault="007C2A47" w:rsidP="007C2A47">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40</w:t>
      </w:r>
      <w:r w:rsidRPr="00286323">
        <w:rPr>
          <w:rFonts w:asciiTheme="minorEastAsia" w:eastAsiaTheme="minorEastAsia" w:hAnsiTheme="minorEastAsia" w:hint="eastAsia"/>
          <w:bCs/>
          <w:color w:val="000000" w:themeColor="text1"/>
        </w:rPr>
        <w:t>、申购：指基金合同生效后，投资人根据基金合同和招募说明书的规定申请购买基金份额的行为</w:t>
      </w:r>
    </w:p>
    <w:p w:rsidR="007C2A47" w:rsidRPr="00286323" w:rsidRDefault="007C2A47" w:rsidP="007C2A47">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41</w:t>
      </w:r>
      <w:r w:rsidRPr="00286323">
        <w:rPr>
          <w:rFonts w:asciiTheme="minorEastAsia" w:eastAsiaTheme="minorEastAsia" w:hAnsiTheme="minorEastAsia" w:hint="eastAsia"/>
          <w:bCs/>
          <w:color w:val="000000" w:themeColor="text1"/>
        </w:rPr>
        <w:t>、赎回：指基金合同生效后，基金份额持有人按基金合同和招募说明书</w:t>
      </w:r>
    </w:p>
    <w:p w:rsidR="007C2A47" w:rsidRPr="00286323" w:rsidRDefault="007C2A47" w:rsidP="007C2A47">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规定的条件要求将基金份额兑换为现金的行为</w:t>
      </w:r>
    </w:p>
    <w:p w:rsidR="007C2A47" w:rsidRPr="00286323" w:rsidRDefault="007C2A47" w:rsidP="007C2A47">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4</w:t>
      </w:r>
      <w:r w:rsidRPr="00286323">
        <w:rPr>
          <w:rFonts w:asciiTheme="minorEastAsia" w:eastAsiaTheme="minorEastAsia" w:hAnsiTheme="minorEastAsia"/>
          <w:bCs/>
          <w:color w:val="000000" w:themeColor="text1"/>
        </w:rPr>
        <w:t>2</w:t>
      </w:r>
      <w:r w:rsidRPr="00286323">
        <w:rPr>
          <w:rFonts w:asciiTheme="minorEastAsia" w:eastAsiaTheme="minorEastAsia" w:hAnsiTheme="minorEastAsia" w:hint="eastAsia"/>
          <w:bCs/>
          <w:color w:val="000000" w:themeColor="text1"/>
        </w:rPr>
        <w:t>、基金转换：指基金份额持有人按照基金合同和基金管理人届时有效公告规定的条件，申请将其持有基金管理人管理的、某一基金的基金份额转换为基金管理人管理的其他基金基金份额的行为</w:t>
      </w:r>
    </w:p>
    <w:p w:rsidR="007C2A47" w:rsidRPr="00286323" w:rsidRDefault="007C2A47" w:rsidP="007C2A47">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43</w:t>
      </w:r>
      <w:r w:rsidRPr="00286323">
        <w:rPr>
          <w:rFonts w:asciiTheme="minorEastAsia" w:eastAsiaTheme="minorEastAsia" w:hAnsiTheme="minorEastAsia" w:hint="eastAsia"/>
          <w:bCs/>
          <w:color w:val="000000" w:themeColor="text1"/>
        </w:rPr>
        <w:t>、转托管：指基金份额持有人在本基金的不同销售机构之间实施的变更所持基金份额销售机构的操作</w:t>
      </w:r>
    </w:p>
    <w:p w:rsidR="007C2A47" w:rsidRPr="00286323" w:rsidRDefault="007C2A47" w:rsidP="007C2A47">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44</w:t>
      </w:r>
      <w:r w:rsidRPr="00286323">
        <w:rPr>
          <w:rFonts w:asciiTheme="minorEastAsia" w:eastAsiaTheme="minorEastAsia" w:hAnsiTheme="minorEastAsia" w:hint="eastAsia"/>
          <w:bCs/>
          <w:color w:val="000000" w:themeColor="text1"/>
        </w:rPr>
        <w:t>、定期定额投资计划：指投资人通过有关销售机构提出申请，约定每期申购日、申购金额及扣款方式，由销售机构于每期约定申购日在投资人指定银行账户内自动完成扣款及</w:t>
      </w:r>
      <w:r w:rsidRPr="00286323">
        <w:rPr>
          <w:rFonts w:asciiTheme="minorEastAsia" w:eastAsiaTheme="minorEastAsia" w:hAnsiTheme="minorEastAsia" w:hint="eastAsia"/>
          <w:color w:val="000000" w:themeColor="text1"/>
          <w:spacing w:val="8"/>
        </w:rPr>
        <w:t>受理</w:t>
      </w:r>
      <w:r w:rsidRPr="00286323">
        <w:rPr>
          <w:rFonts w:asciiTheme="minorEastAsia" w:eastAsiaTheme="minorEastAsia" w:hAnsiTheme="minorEastAsia" w:hint="eastAsia"/>
          <w:bCs/>
          <w:color w:val="000000" w:themeColor="text1"/>
        </w:rPr>
        <w:t>基金申购申请的一种投资方式</w:t>
      </w:r>
    </w:p>
    <w:p w:rsidR="007C2A47" w:rsidRPr="00286323" w:rsidRDefault="007C2A47" w:rsidP="007C2A47">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45</w:t>
      </w:r>
      <w:r w:rsidRPr="00286323">
        <w:rPr>
          <w:rFonts w:asciiTheme="minorEastAsia" w:eastAsiaTheme="minorEastAsia" w:hAnsiTheme="minorEastAsia" w:hint="eastAsia"/>
          <w:bCs/>
          <w:color w:val="000000" w:themeColor="text1"/>
        </w:rPr>
        <w:t>、巨额赎回：指本基金单个开放日，基金净赎回申请</w:t>
      </w:r>
      <w:r w:rsidRPr="00286323">
        <w:rPr>
          <w:rFonts w:asciiTheme="minorEastAsia" w:eastAsiaTheme="minorEastAsia" w:hAnsiTheme="minorEastAsia"/>
          <w:bCs/>
          <w:color w:val="000000" w:themeColor="text1"/>
        </w:rPr>
        <w:t>(</w:t>
      </w:r>
      <w:r w:rsidRPr="00286323">
        <w:rPr>
          <w:rFonts w:asciiTheme="minorEastAsia" w:eastAsiaTheme="minorEastAsia" w:hAnsiTheme="minorEastAsia" w:hint="eastAsia"/>
          <w:bCs/>
          <w:color w:val="000000" w:themeColor="text1"/>
        </w:rPr>
        <w:t>赎回申请份额总数加上基金转换中转出申请份额总数后扣除申购申请份额总数及基金转换中转入申请份额总数后的余额</w:t>
      </w:r>
      <w:r w:rsidRPr="00286323">
        <w:rPr>
          <w:rFonts w:asciiTheme="minorEastAsia" w:eastAsiaTheme="minorEastAsia" w:hAnsiTheme="minorEastAsia"/>
          <w:bCs/>
          <w:color w:val="000000" w:themeColor="text1"/>
        </w:rPr>
        <w:t>)</w:t>
      </w:r>
      <w:r w:rsidRPr="00286323">
        <w:rPr>
          <w:rFonts w:asciiTheme="minorEastAsia" w:eastAsiaTheme="minorEastAsia" w:hAnsiTheme="minorEastAsia" w:hint="eastAsia"/>
          <w:bCs/>
          <w:color w:val="000000" w:themeColor="text1"/>
        </w:rPr>
        <w:t>超过上一开放日基金总份额的</w:t>
      </w:r>
      <w:r w:rsidRPr="00286323">
        <w:rPr>
          <w:rFonts w:asciiTheme="minorEastAsia" w:eastAsiaTheme="minorEastAsia" w:hAnsiTheme="minorEastAsia"/>
          <w:bCs/>
          <w:color w:val="000000" w:themeColor="text1"/>
        </w:rPr>
        <w:t>10%</w:t>
      </w:r>
    </w:p>
    <w:p w:rsidR="007C2A47" w:rsidRPr="00286323" w:rsidRDefault="007C2A47" w:rsidP="007C2A47">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46</w:t>
      </w:r>
      <w:r w:rsidRPr="00286323">
        <w:rPr>
          <w:rFonts w:asciiTheme="minorEastAsia" w:eastAsiaTheme="minorEastAsia" w:hAnsiTheme="minorEastAsia" w:hint="eastAsia"/>
          <w:bCs/>
          <w:color w:val="000000" w:themeColor="text1"/>
        </w:rPr>
        <w:t>、元：指人民币元</w:t>
      </w:r>
    </w:p>
    <w:p w:rsidR="007C2A47" w:rsidRPr="00286323" w:rsidRDefault="007C2A47" w:rsidP="007C2A47">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47</w:t>
      </w:r>
      <w:r w:rsidRPr="00286323">
        <w:rPr>
          <w:rFonts w:asciiTheme="minorEastAsia" w:eastAsiaTheme="minorEastAsia" w:hAnsiTheme="minorEastAsia" w:hint="eastAsia"/>
          <w:bCs/>
          <w:color w:val="000000" w:themeColor="text1"/>
        </w:rPr>
        <w:t>、基金收益：指基金投资所得红利、股息、债券利息、买卖证券价差、银行存款利息、已实现的其他合法收入及因运用基金财产带来的成本和费用的节约</w:t>
      </w:r>
    </w:p>
    <w:p w:rsidR="007C2A47" w:rsidRPr="00286323" w:rsidRDefault="007C2A47" w:rsidP="007C2A47">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48</w:t>
      </w:r>
      <w:r w:rsidRPr="00286323">
        <w:rPr>
          <w:rFonts w:asciiTheme="minorEastAsia" w:eastAsiaTheme="minorEastAsia" w:hAnsiTheme="minorEastAsia" w:hint="eastAsia"/>
          <w:bCs/>
          <w:color w:val="000000" w:themeColor="text1"/>
        </w:rPr>
        <w:t>、基金资产总值：指基金拥有的各类有价证券、银行存款本息、基金应收申购款及其他资产的价值总和</w:t>
      </w:r>
    </w:p>
    <w:p w:rsidR="007C2A47" w:rsidRPr="00286323" w:rsidRDefault="007C2A47" w:rsidP="007C2A47">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49</w:t>
      </w:r>
      <w:r w:rsidRPr="00286323">
        <w:rPr>
          <w:rFonts w:asciiTheme="minorEastAsia" w:eastAsiaTheme="minorEastAsia" w:hAnsiTheme="minorEastAsia" w:hint="eastAsia"/>
          <w:bCs/>
          <w:color w:val="000000" w:themeColor="text1"/>
        </w:rPr>
        <w:t>、基金资产净值：指基金资产总值减去基金负债后的价值</w:t>
      </w:r>
    </w:p>
    <w:p w:rsidR="007C2A47" w:rsidRPr="00286323" w:rsidRDefault="007C2A47" w:rsidP="007C2A47">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50</w:t>
      </w:r>
      <w:r w:rsidRPr="00286323">
        <w:rPr>
          <w:rFonts w:asciiTheme="minorEastAsia" w:eastAsiaTheme="minorEastAsia" w:hAnsiTheme="minorEastAsia" w:hint="eastAsia"/>
          <w:bCs/>
          <w:color w:val="000000" w:themeColor="text1"/>
        </w:rPr>
        <w:t>、基金份额净值：指计算日基金资产净值除以计算日基金份额总数</w:t>
      </w:r>
    </w:p>
    <w:p w:rsidR="007C2A47" w:rsidRPr="00286323" w:rsidRDefault="007C2A47" w:rsidP="007C2A47">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51</w:t>
      </w:r>
      <w:r w:rsidRPr="00286323">
        <w:rPr>
          <w:rFonts w:asciiTheme="minorEastAsia" w:eastAsiaTheme="minorEastAsia" w:hAnsiTheme="minorEastAsia" w:hint="eastAsia"/>
          <w:bCs/>
          <w:color w:val="000000" w:themeColor="text1"/>
        </w:rPr>
        <w:t>、基金资产估值：指计算评估基金资产和负债的价值，以确定基金资产净值和基金份额净值的过程</w:t>
      </w:r>
    </w:p>
    <w:p w:rsidR="007C2A47" w:rsidRPr="00286323" w:rsidRDefault="007C2A47" w:rsidP="007C2A47">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5</w:t>
      </w:r>
      <w:r w:rsidRPr="00286323">
        <w:rPr>
          <w:rFonts w:asciiTheme="minorEastAsia" w:eastAsiaTheme="minorEastAsia" w:hAnsiTheme="minorEastAsia"/>
          <w:bCs/>
          <w:color w:val="000000" w:themeColor="text1"/>
        </w:rPr>
        <w:t>2</w:t>
      </w:r>
      <w:r w:rsidRPr="00286323">
        <w:rPr>
          <w:rFonts w:asciiTheme="minorEastAsia" w:eastAsiaTheme="minorEastAsia" w:hAnsiTheme="minorEastAsia" w:hint="eastAsia"/>
          <w:bCs/>
          <w:color w:val="000000" w:themeColor="text1"/>
        </w:rPr>
        <w:t>、指定媒介：指中国证监会指定的用以进行信息披露的全国性报刊及指定互联网网站（包括基金管理人网站、基金托管人网站、中国证监会基金电子披露网站）等媒介</w:t>
      </w:r>
    </w:p>
    <w:p w:rsidR="007C2A47" w:rsidRPr="00286323" w:rsidRDefault="007C2A47" w:rsidP="007C2A47">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lastRenderedPageBreak/>
        <w:t>53</w:t>
      </w:r>
      <w:r w:rsidRPr="00286323">
        <w:rPr>
          <w:rFonts w:asciiTheme="minorEastAsia" w:eastAsiaTheme="minorEastAsia" w:hAnsiTheme="minorEastAsia" w:hint="eastAsia"/>
          <w:bCs/>
          <w:color w:val="000000" w:themeColor="text1"/>
        </w:rPr>
        <w:t>、中国：指中华人民共和国。就基金合同而言，不包括香港特别行政区、澳门特别行政区和台湾地区</w:t>
      </w:r>
    </w:p>
    <w:p w:rsidR="007C2A47" w:rsidRPr="00286323" w:rsidRDefault="007C2A47" w:rsidP="007C2A47">
      <w:pPr>
        <w:snapToGrid w:val="0"/>
        <w:spacing w:line="360" w:lineRule="auto"/>
        <w:ind w:firstLine="48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54</w:t>
      </w:r>
      <w:r w:rsidRPr="00286323">
        <w:rPr>
          <w:rFonts w:asciiTheme="minorEastAsia" w:eastAsiaTheme="minorEastAsia" w:hAnsiTheme="minorEastAsia" w:hint="eastAsia"/>
          <w:bCs/>
          <w:color w:val="000000" w:themeColor="text1"/>
        </w:rPr>
        <w:t>、不可抗力：指合同当事人不能预见、不能避免且不能克服的客观事件。</w:t>
      </w:r>
    </w:p>
    <w:p w:rsidR="00E80743" w:rsidRPr="00286323" w:rsidRDefault="007C2A47" w:rsidP="00F71D3B">
      <w:pPr>
        <w:snapToGrid w:val="0"/>
        <w:spacing w:line="360" w:lineRule="auto"/>
        <w:ind w:firstLine="48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5</w:t>
      </w:r>
      <w:r w:rsidRPr="00286323">
        <w:rPr>
          <w:rFonts w:asciiTheme="minorEastAsia" w:eastAsiaTheme="minorEastAsia" w:hAnsiTheme="minorEastAsia" w:cs="Arial"/>
          <w:color w:val="000000" w:themeColor="text1"/>
        </w:rPr>
        <w:t>5</w:t>
      </w:r>
      <w:r w:rsidRPr="00286323">
        <w:rPr>
          <w:rFonts w:asciiTheme="minorEastAsia" w:eastAsiaTheme="minorEastAsia" w:hAnsiTheme="minorEastAsia" w:cs="Arial" w:hint="eastAsia"/>
          <w:color w:val="000000" w:themeColor="text1"/>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1A7CDB" w:rsidRPr="00286323" w:rsidRDefault="001A7CDB" w:rsidP="00F71D3B">
      <w:pPr>
        <w:snapToGrid w:val="0"/>
        <w:spacing w:line="360" w:lineRule="auto"/>
        <w:ind w:firstLine="480"/>
        <w:rPr>
          <w:rFonts w:asciiTheme="minorEastAsia" w:eastAsiaTheme="minorEastAsia" w:hAnsiTheme="minorEastAsia" w:cs="Arial"/>
          <w:color w:val="000000" w:themeColor="text1"/>
        </w:rPr>
      </w:pPr>
    </w:p>
    <w:p w:rsidR="001A7CDB" w:rsidRPr="00286323" w:rsidRDefault="001A7CDB" w:rsidP="00F71D3B">
      <w:pPr>
        <w:snapToGrid w:val="0"/>
        <w:spacing w:line="360" w:lineRule="auto"/>
        <w:rPr>
          <w:rFonts w:asciiTheme="minorEastAsia" w:eastAsiaTheme="minorEastAsia" w:hAnsiTheme="minorEastAsia" w:cs="Arial"/>
          <w:color w:val="000000" w:themeColor="text1"/>
        </w:rPr>
        <w:sectPr w:rsidR="001A7CDB" w:rsidRPr="00286323" w:rsidSect="00D648D0">
          <w:pgSz w:w="11907" w:h="16840" w:code="9"/>
          <w:pgMar w:top="1701" w:right="1814" w:bottom="1701" w:left="1814" w:header="851" w:footer="992" w:gutter="0"/>
          <w:pgNumType w:start="1"/>
          <w:cols w:space="425"/>
          <w:docGrid w:type="linesAndChars" w:linePitch="312"/>
        </w:sectPr>
      </w:pPr>
    </w:p>
    <w:p w:rsidR="001A7CDB" w:rsidRPr="00286323" w:rsidRDefault="001A7CDB" w:rsidP="00F71D3B">
      <w:pPr>
        <w:pStyle w:val="11"/>
        <w:numPr>
          <w:ilvl w:val="0"/>
          <w:numId w:val="9"/>
        </w:numPr>
        <w:snapToGrid w:val="0"/>
        <w:spacing w:beforeLines="0" w:afterLines="0" w:line="360" w:lineRule="auto"/>
        <w:ind w:firstLineChars="0"/>
        <w:rPr>
          <w:rFonts w:asciiTheme="minorEastAsia" w:eastAsiaTheme="minorEastAsia" w:hAnsiTheme="minorEastAsia" w:cs="Arial"/>
          <w:bCs/>
          <w:color w:val="000000" w:themeColor="text1"/>
          <w:szCs w:val="21"/>
        </w:rPr>
      </w:pPr>
      <w:bookmarkStart w:id="4" w:name="_Toc81922637"/>
      <w:r w:rsidRPr="00286323">
        <w:rPr>
          <w:rFonts w:asciiTheme="minorEastAsia" w:eastAsiaTheme="minorEastAsia" w:hAnsiTheme="minorEastAsia" w:cs="Arial" w:hint="eastAsia"/>
          <w:bCs/>
          <w:color w:val="000000" w:themeColor="text1"/>
          <w:szCs w:val="21"/>
        </w:rPr>
        <w:lastRenderedPageBreak/>
        <w:t>基金管理人</w:t>
      </w:r>
      <w:bookmarkEnd w:id="4"/>
    </w:p>
    <w:p w:rsidR="001A7CDB" w:rsidRPr="00286323" w:rsidRDefault="001A7CDB" w:rsidP="00F71D3B">
      <w:pPr>
        <w:pStyle w:val="20"/>
        <w:numPr>
          <w:ilvl w:val="0"/>
          <w:numId w:val="10"/>
        </w:numPr>
        <w:snapToGrid w:val="0"/>
        <w:spacing w:beforeLines="0" w:afterLines="0" w:line="360" w:lineRule="auto"/>
        <w:ind w:firstLineChars="0"/>
        <w:rPr>
          <w:rFonts w:asciiTheme="minorEastAsia" w:eastAsiaTheme="minorEastAsia" w:hAnsiTheme="minorEastAsia" w:cs="Arial"/>
          <w:b w:val="0"/>
          <w:bCs/>
          <w:color w:val="000000" w:themeColor="text1"/>
          <w:szCs w:val="21"/>
        </w:rPr>
      </w:pPr>
      <w:bookmarkStart w:id="5" w:name="_Toc133292563"/>
      <w:bookmarkStart w:id="6" w:name="_Toc163189520"/>
      <w:r w:rsidRPr="00286323">
        <w:rPr>
          <w:rFonts w:asciiTheme="minorEastAsia" w:eastAsiaTheme="minorEastAsia" w:hAnsiTheme="minorEastAsia" w:cs="Arial"/>
          <w:b w:val="0"/>
          <w:bCs/>
          <w:color w:val="000000" w:themeColor="text1"/>
          <w:szCs w:val="21"/>
        </w:rPr>
        <w:t>基金管理人基本情况</w:t>
      </w:r>
      <w:bookmarkEnd w:id="5"/>
      <w:bookmarkEnd w:id="6"/>
    </w:p>
    <w:p w:rsidR="004026EF" w:rsidRPr="00286323" w:rsidRDefault="001A7CDB" w:rsidP="00F71D3B">
      <w:pPr>
        <w:pStyle w:val="af"/>
        <w:snapToGrid w:val="0"/>
        <w:spacing w:line="360" w:lineRule="auto"/>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w:t>
      </w:r>
      <w:r w:rsidR="004026EF" w:rsidRPr="00286323">
        <w:rPr>
          <w:rFonts w:asciiTheme="minorEastAsia" w:eastAsiaTheme="minorEastAsia" w:hAnsiTheme="minorEastAsia" w:cs="Arial" w:hint="eastAsia"/>
          <w:color w:val="000000" w:themeColor="text1"/>
        </w:rPr>
        <w:t>基金管理人：易方达基金管理有限公司</w:t>
      </w:r>
    </w:p>
    <w:p w:rsidR="004026EF" w:rsidRPr="00286323" w:rsidRDefault="004026EF" w:rsidP="00F71D3B">
      <w:pPr>
        <w:pStyle w:val="af"/>
        <w:snapToGrid w:val="0"/>
        <w:spacing w:line="360" w:lineRule="auto"/>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注册地址：</w:t>
      </w:r>
      <w:r w:rsidR="00AC6F8E" w:rsidRPr="00286323">
        <w:rPr>
          <w:rFonts w:asciiTheme="minorEastAsia" w:eastAsiaTheme="minorEastAsia" w:hAnsiTheme="minorEastAsia" w:cs="Arial" w:hint="eastAsia"/>
          <w:color w:val="000000" w:themeColor="text1"/>
        </w:rPr>
        <w:t>广东省珠海市横琴新区宝华路6号105室－42891（集中办公区）</w:t>
      </w:r>
    </w:p>
    <w:p w:rsidR="004026EF" w:rsidRPr="00286323" w:rsidRDefault="004026EF" w:rsidP="00F71D3B">
      <w:pPr>
        <w:pStyle w:val="af"/>
        <w:snapToGrid w:val="0"/>
        <w:spacing w:line="360" w:lineRule="auto"/>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办公地址：广州市天河区珠江新城珠江东路30号广州银行大厦40-43楼</w:t>
      </w:r>
    </w:p>
    <w:p w:rsidR="004026EF" w:rsidRPr="00286323" w:rsidRDefault="004026EF" w:rsidP="00F71D3B">
      <w:pPr>
        <w:pStyle w:val="af"/>
        <w:snapToGrid w:val="0"/>
        <w:spacing w:line="360" w:lineRule="auto"/>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设立日期：2001年4月17日</w:t>
      </w:r>
    </w:p>
    <w:p w:rsidR="004026EF" w:rsidRPr="00286323" w:rsidRDefault="004026EF" w:rsidP="00F71D3B">
      <w:pPr>
        <w:pStyle w:val="af"/>
        <w:snapToGrid w:val="0"/>
        <w:spacing w:line="360" w:lineRule="auto"/>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法定代表人：</w:t>
      </w:r>
      <w:r w:rsidR="007F0578" w:rsidRPr="00286323">
        <w:rPr>
          <w:rFonts w:asciiTheme="minorEastAsia" w:eastAsiaTheme="minorEastAsia" w:hAnsiTheme="minorEastAsia" w:cs="Arial" w:hint="eastAsia"/>
          <w:color w:val="000000" w:themeColor="text1"/>
        </w:rPr>
        <w:t>刘晓艳</w:t>
      </w:r>
    </w:p>
    <w:p w:rsidR="004026EF" w:rsidRPr="00286323" w:rsidRDefault="004026EF" w:rsidP="00F71D3B">
      <w:pPr>
        <w:pStyle w:val="af"/>
        <w:snapToGrid w:val="0"/>
        <w:spacing w:line="360" w:lineRule="auto"/>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联系电话：4008818088</w:t>
      </w:r>
    </w:p>
    <w:p w:rsidR="004026EF" w:rsidRPr="00286323" w:rsidRDefault="00635E37" w:rsidP="00F71D3B">
      <w:pPr>
        <w:pStyle w:val="af"/>
        <w:snapToGrid w:val="0"/>
        <w:spacing w:line="360" w:lineRule="auto"/>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联系人：李红枫</w:t>
      </w:r>
    </w:p>
    <w:p w:rsidR="004026EF" w:rsidRPr="00286323" w:rsidRDefault="00C479C3"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注册资本：13,244.2万元人民币</w:t>
      </w:r>
    </w:p>
    <w:p w:rsidR="00CF1D11" w:rsidRPr="00286323" w:rsidRDefault="00CF1D11" w:rsidP="00F71D3B">
      <w:pPr>
        <w:snapToGrid w:val="0"/>
        <w:spacing w:line="360" w:lineRule="auto"/>
        <w:ind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批准设立机关及文号：中国证券监督管理委员会，证监基金字[2001]4号</w:t>
      </w:r>
    </w:p>
    <w:p w:rsidR="00CF1D11" w:rsidRPr="00286323" w:rsidRDefault="00CF1D11" w:rsidP="00F71D3B">
      <w:pPr>
        <w:snapToGrid w:val="0"/>
        <w:spacing w:line="360" w:lineRule="auto"/>
        <w:ind w:firstLineChars="200" w:firstLine="420"/>
        <w:rPr>
          <w:rFonts w:asciiTheme="minorEastAsia" w:eastAsiaTheme="minorEastAsia" w:hAnsiTheme="minorEastAsia"/>
          <w:color w:val="000000" w:themeColor="text1"/>
          <w:szCs w:val="24"/>
        </w:rPr>
      </w:pPr>
      <w:r w:rsidRPr="00286323">
        <w:rPr>
          <w:rFonts w:asciiTheme="minorEastAsia" w:eastAsiaTheme="minorEastAsia" w:hAnsiTheme="minorEastAsia" w:hint="eastAsia"/>
          <w:color w:val="000000" w:themeColor="text1"/>
        </w:rPr>
        <w:t>经营范围：</w:t>
      </w:r>
      <w:r w:rsidR="00AC6F8E" w:rsidRPr="00286323">
        <w:rPr>
          <w:rFonts w:asciiTheme="minorEastAsia" w:eastAsiaTheme="minorEastAsia" w:hAnsiTheme="minorEastAsia" w:hint="eastAsia"/>
          <w:color w:val="000000" w:themeColor="text1"/>
        </w:rPr>
        <w:t>公开募集证券投资基金管理、基金销售、特定客户资产管理</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2、</w:t>
      </w:r>
      <w:r w:rsidRPr="00286323">
        <w:rPr>
          <w:rFonts w:asciiTheme="minorEastAsia" w:eastAsiaTheme="minorEastAsia" w:hAnsiTheme="minorEastAsia" w:cs="Arial"/>
          <w:color w:val="000000" w:themeColor="text1"/>
        </w:rPr>
        <w:t>股权结构：</w:t>
      </w:r>
    </w:p>
    <w:tbl>
      <w:tblPr>
        <w:tblW w:w="45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9"/>
        <w:gridCol w:w="2569"/>
      </w:tblGrid>
      <w:tr w:rsidR="00286323" w:rsidRPr="00286323" w:rsidTr="00EB15C0">
        <w:trPr>
          <w:jc w:val="center"/>
        </w:trPr>
        <w:tc>
          <w:tcPr>
            <w:tcW w:w="3327" w:type="pct"/>
            <w:vAlign w:val="center"/>
          </w:tcPr>
          <w:p w:rsidR="001A7CDB" w:rsidRPr="00286323" w:rsidRDefault="001A7CDB" w:rsidP="00F71D3B">
            <w:pPr>
              <w:adjustRightInd w:val="0"/>
              <w:snapToGrid w:val="0"/>
              <w:spacing w:line="360" w:lineRule="auto"/>
              <w:jc w:val="center"/>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股东名称</w:t>
            </w:r>
          </w:p>
        </w:tc>
        <w:tc>
          <w:tcPr>
            <w:tcW w:w="1673" w:type="pct"/>
            <w:vAlign w:val="center"/>
          </w:tcPr>
          <w:p w:rsidR="001A7CDB" w:rsidRPr="00286323" w:rsidRDefault="001A7CDB" w:rsidP="00F71D3B">
            <w:pPr>
              <w:adjustRightInd w:val="0"/>
              <w:snapToGrid w:val="0"/>
              <w:spacing w:line="360" w:lineRule="auto"/>
              <w:jc w:val="center"/>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出资比例</w:t>
            </w:r>
          </w:p>
        </w:tc>
      </w:tr>
      <w:tr w:rsidR="00286323" w:rsidRPr="00286323" w:rsidTr="00EB15C0">
        <w:trPr>
          <w:jc w:val="center"/>
        </w:trPr>
        <w:tc>
          <w:tcPr>
            <w:tcW w:w="3327" w:type="pct"/>
            <w:vAlign w:val="center"/>
          </w:tcPr>
          <w:p w:rsidR="001A7CDB" w:rsidRPr="00286323" w:rsidRDefault="00C479C3" w:rsidP="00F71D3B">
            <w:pPr>
              <w:adjustRightInd w:val="0"/>
              <w:snapToGrid w:val="0"/>
              <w:spacing w:line="360" w:lineRule="auto"/>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广东粤财信托有限公司</w:t>
            </w:r>
          </w:p>
        </w:tc>
        <w:tc>
          <w:tcPr>
            <w:tcW w:w="1673" w:type="pct"/>
            <w:vAlign w:val="center"/>
          </w:tcPr>
          <w:p w:rsidR="001A7CDB" w:rsidRPr="00286323" w:rsidRDefault="00C479C3" w:rsidP="00F71D3B">
            <w:pPr>
              <w:adjustRightInd w:val="0"/>
              <w:snapToGrid w:val="0"/>
              <w:spacing w:line="360" w:lineRule="auto"/>
              <w:jc w:val="center"/>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22.6514％</w:t>
            </w:r>
          </w:p>
        </w:tc>
      </w:tr>
      <w:tr w:rsidR="00286323" w:rsidRPr="00286323" w:rsidTr="00EB15C0">
        <w:trPr>
          <w:jc w:val="center"/>
        </w:trPr>
        <w:tc>
          <w:tcPr>
            <w:tcW w:w="3327" w:type="pct"/>
            <w:vAlign w:val="center"/>
          </w:tcPr>
          <w:p w:rsidR="001A7CDB" w:rsidRPr="00286323" w:rsidRDefault="00C479C3" w:rsidP="00F71D3B">
            <w:pPr>
              <w:adjustRightInd w:val="0"/>
              <w:snapToGrid w:val="0"/>
              <w:spacing w:line="360" w:lineRule="auto"/>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广发证券股份有限公司</w:t>
            </w:r>
          </w:p>
        </w:tc>
        <w:tc>
          <w:tcPr>
            <w:tcW w:w="1673" w:type="pct"/>
            <w:vAlign w:val="center"/>
          </w:tcPr>
          <w:p w:rsidR="001A7CDB" w:rsidRPr="00286323" w:rsidRDefault="00C479C3" w:rsidP="00F71D3B">
            <w:pPr>
              <w:adjustRightInd w:val="0"/>
              <w:snapToGrid w:val="0"/>
              <w:spacing w:line="360" w:lineRule="auto"/>
              <w:jc w:val="center"/>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22.6514％</w:t>
            </w:r>
          </w:p>
        </w:tc>
      </w:tr>
      <w:tr w:rsidR="00286323" w:rsidRPr="00286323" w:rsidTr="00EB15C0">
        <w:trPr>
          <w:jc w:val="center"/>
        </w:trPr>
        <w:tc>
          <w:tcPr>
            <w:tcW w:w="3327" w:type="pct"/>
            <w:vAlign w:val="center"/>
          </w:tcPr>
          <w:p w:rsidR="001A7CDB" w:rsidRPr="00286323" w:rsidRDefault="00C479C3" w:rsidP="001936C1">
            <w:pPr>
              <w:adjustRightInd w:val="0"/>
              <w:snapToGrid w:val="0"/>
              <w:spacing w:line="360" w:lineRule="auto"/>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盈峰集团有限公司</w:t>
            </w:r>
          </w:p>
        </w:tc>
        <w:tc>
          <w:tcPr>
            <w:tcW w:w="1673" w:type="pct"/>
            <w:vAlign w:val="center"/>
          </w:tcPr>
          <w:p w:rsidR="001A7CDB" w:rsidRPr="00286323" w:rsidRDefault="00C479C3" w:rsidP="00F71D3B">
            <w:pPr>
              <w:adjustRightInd w:val="0"/>
              <w:snapToGrid w:val="0"/>
              <w:spacing w:line="360" w:lineRule="auto"/>
              <w:jc w:val="center"/>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22.6514％</w:t>
            </w:r>
          </w:p>
        </w:tc>
      </w:tr>
      <w:tr w:rsidR="00286323" w:rsidRPr="00286323" w:rsidTr="00EB15C0">
        <w:trPr>
          <w:jc w:val="center"/>
        </w:trPr>
        <w:tc>
          <w:tcPr>
            <w:tcW w:w="3327" w:type="pct"/>
            <w:vAlign w:val="center"/>
          </w:tcPr>
          <w:p w:rsidR="001A7CDB" w:rsidRPr="00286323" w:rsidRDefault="00123336" w:rsidP="00F71D3B">
            <w:pPr>
              <w:adjustRightInd w:val="0"/>
              <w:snapToGrid w:val="0"/>
              <w:spacing w:line="360" w:lineRule="auto"/>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广东省广晟控股集</w:t>
            </w:r>
            <w:bookmarkStart w:id="7" w:name="_GoBack"/>
            <w:bookmarkEnd w:id="7"/>
            <w:r w:rsidRPr="00286323">
              <w:rPr>
                <w:rFonts w:asciiTheme="minorEastAsia" w:eastAsiaTheme="minorEastAsia" w:hAnsiTheme="minorEastAsia" w:cs="Arial" w:hint="eastAsia"/>
                <w:color w:val="000000" w:themeColor="text1"/>
              </w:rPr>
              <w:t>团有限公司</w:t>
            </w:r>
          </w:p>
        </w:tc>
        <w:tc>
          <w:tcPr>
            <w:tcW w:w="1673" w:type="pct"/>
            <w:vAlign w:val="center"/>
          </w:tcPr>
          <w:p w:rsidR="001A7CDB" w:rsidRPr="00286323" w:rsidRDefault="00C479C3" w:rsidP="00F71D3B">
            <w:pPr>
              <w:adjustRightInd w:val="0"/>
              <w:snapToGrid w:val="0"/>
              <w:spacing w:line="360" w:lineRule="auto"/>
              <w:jc w:val="center"/>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15.1010％</w:t>
            </w:r>
          </w:p>
        </w:tc>
      </w:tr>
      <w:tr w:rsidR="00286323" w:rsidRPr="00286323" w:rsidTr="00EB15C0">
        <w:trPr>
          <w:jc w:val="center"/>
        </w:trPr>
        <w:tc>
          <w:tcPr>
            <w:tcW w:w="3327" w:type="pct"/>
            <w:vAlign w:val="center"/>
          </w:tcPr>
          <w:p w:rsidR="001A7CDB" w:rsidRPr="00286323" w:rsidRDefault="00C479C3" w:rsidP="00F71D3B">
            <w:pPr>
              <w:adjustRightInd w:val="0"/>
              <w:snapToGrid w:val="0"/>
              <w:spacing w:line="360" w:lineRule="auto"/>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广州市广永国有资产经营有限公司</w:t>
            </w:r>
          </w:p>
        </w:tc>
        <w:tc>
          <w:tcPr>
            <w:tcW w:w="1673" w:type="pct"/>
            <w:vAlign w:val="center"/>
          </w:tcPr>
          <w:p w:rsidR="001A7CDB" w:rsidRPr="00286323" w:rsidRDefault="00C479C3" w:rsidP="00F71D3B">
            <w:pPr>
              <w:adjustRightInd w:val="0"/>
              <w:snapToGrid w:val="0"/>
              <w:spacing w:line="360" w:lineRule="auto"/>
              <w:jc w:val="center"/>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7.5505％</w:t>
            </w:r>
          </w:p>
        </w:tc>
      </w:tr>
      <w:tr w:rsidR="00286323" w:rsidRPr="00286323" w:rsidTr="00EB15C0">
        <w:trPr>
          <w:jc w:val="center"/>
        </w:trPr>
        <w:tc>
          <w:tcPr>
            <w:tcW w:w="3327" w:type="pct"/>
            <w:vAlign w:val="center"/>
          </w:tcPr>
          <w:p w:rsidR="001A7CDB" w:rsidRPr="00286323" w:rsidRDefault="00C479C3" w:rsidP="00F71D3B">
            <w:pPr>
              <w:adjustRightInd w:val="0"/>
              <w:snapToGrid w:val="0"/>
              <w:spacing w:line="360" w:lineRule="auto"/>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珠海祺荣宝股权投资合伙企业（有限合伙）</w:t>
            </w:r>
          </w:p>
        </w:tc>
        <w:tc>
          <w:tcPr>
            <w:tcW w:w="1673" w:type="pct"/>
            <w:vAlign w:val="center"/>
          </w:tcPr>
          <w:p w:rsidR="001A7CDB" w:rsidRPr="00286323" w:rsidRDefault="00C479C3" w:rsidP="00F71D3B">
            <w:pPr>
              <w:adjustRightInd w:val="0"/>
              <w:snapToGrid w:val="0"/>
              <w:spacing w:line="360" w:lineRule="auto"/>
              <w:jc w:val="center"/>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1.5087％</w:t>
            </w:r>
          </w:p>
        </w:tc>
      </w:tr>
      <w:tr w:rsidR="00286323" w:rsidRPr="00286323" w:rsidTr="00EB15C0">
        <w:trPr>
          <w:jc w:val="center"/>
        </w:trPr>
        <w:tc>
          <w:tcPr>
            <w:tcW w:w="3327" w:type="pct"/>
            <w:vAlign w:val="center"/>
          </w:tcPr>
          <w:p w:rsidR="00C479C3" w:rsidRPr="00286323" w:rsidRDefault="00C479C3" w:rsidP="00F71D3B">
            <w:pPr>
              <w:adjustRightInd w:val="0"/>
              <w:snapToGrid w:val="0"/>
              <w:spacing w:line="360" w:lineRule="auto"/>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珠海祺泰宝股权投资合伙企业（有限合伙）</w:t>
            </w:r>
          </w:p>
        </w:tc>
        <w:tc>
          <w:tcPr>
            <w:tcW w:w="1673" w:type="pct"/>
            <w:vAlign w:val="center"/>
          </w:tcPr>
          <w:p w:rsidR="00C479C3" w:rsidRPr="00286323" w:rsidRDefault="00C479C3" w:rsidP="00F71D3B">
            <w:pPr>
              <w:adjustRightInd w:val="0"/>
              <w:snapToGrid w:val="0"/>
              <w:spacing w:line="360" w:lineRule="auto"/>
              <w:jc w:val="center"/>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1.6205％</w:t>
            </w:r>
          </w:p>
        </w:tc>
      </w:tr>
      <w:tr w:rsidR="00286323" w:rsidRPr="00286323" w:rsidTr="00EB15C0">
        <w:trPr>
          <w:jc w:val="center"/>
        </w:trPr>
        <w:tc>
          <w:tcPr>
            <w:tcW w:w="3327" w:type="pct"/>
            <w:vAlign w:val="center"/>
          </w:tcPr>
          <w:p w:rsidR="00C479C3" w:rsidRPr="00286323" w:rsidRDefault="00C479C3" w:rsidP="00F71D3B">
            <w:pPr>
              <w:adjustRightInd w:val="0"/>
              <w:snapToGrid w:val="0"/>
              <w:spacing w:line="360" w:lineRule="auto"/>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珠海祺丰宝股权投资合伙企业（有限合伙）</w:t>
            </w:r>
          </w:p>
        </w:tc>
        <w:tc>
          <w:tcPr>
            <w:tcW w:w="1673" w:type="pct"/>
            <w:vAlign w:val="center"/>
          </w:tcPr>
          <w:p w:rsidR="00C479C3" w:rsidRPr="00286323" w:rsidRDefault="00C479C3" w:rsidP="00F71D3B">
            <w:pPr>
              <w:adjustRightInd w:val="0"/>
              <w:snapToGrid w:val="0"/>
              <w:spacing w:line="360" w:lineRule="auto"/>
              <w:jc w:val="center"/>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1.5309％</w:t>
            </w:r>
          </w:p>
        </w:tc>
      </w:tr>
      <w:tr w:rsidR="00286323" w:rsidRPr="00286323" w:rsidTr="00EB15C0">
        <w:trPr>
          <w:jc w:val="center"/>
        </w:trPr>
        <w:tc>
          <w:tcPr>
            <w:tcW w:w="3327" w:type="pct"/>
            <w:vAlign w:val="center"/>
          </w:tcPr>
          <w:p w:rsidR="00C479C3" w:rsidRPr="00286323" w:rsidRDefault="00C479C3" w:rsidP="00F71D3B">
            <w:pPr>
              <w:adjustRightInd w:val="0"/>
              <w:snapToGrid w:val="0"/>
              <w:spacing w:line="360" w:lineRule="auto"/>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珠海聚莱康股权投资合伙企业（有限合伙）</w:t>
            </w:r>
          </w:p>
        </w:tc>
        <w:tc>
          <w:tcPr>
            <w:tcW w:w="1673" w:type="pct"/>
            <w:vAlign w:val="center"/>
          </w:tcPr>
          <w:p w:rsidR="00C479C3" w:rsidRPr="00286323" w:rsidRDefault="00C479C3" w:rsidP="00F71D3B">
            <w:pPr>
              <w:adjustRightInd w:val="0"/>
              <w:snapToGrid w:val="0"/>
              <w:spacing w:line="360" w:lineRule="auto"/>
              <w:jc w:val="center"/>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1.7558％</w:t>
            </w:r>
          </w:p>
        </w:tc>
      </w:tr>
      <w:tr w:rsidR="00286323" w:rsidRPr="00286323" w:rsidTr="00EB15C0">
        <w:trPr>
          <w:jc w:val="center"/>
        </w:trPr>
        <w:tc>
          <w:tcPr>
            <w:tcW w:w="3327" w:type="pct"/>
            <w:vAlign w:val="center"/>
          </w:tcPr>
          <w:p w:rsidR="00C479C3" w:rsidRPr="00286323" w:rsidRDefault="00C479C3" w:rsidP="00F71D3B">
            <w:pPr>
              <w:adjustRightInd w:val="0"/>
              <w:snapToGrid w:val="0"/>
              <w:spacing w:line="360" w:lineRule="auto"/>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珠海聚宁康股权投资合伙企业（有限合伙）</w:t>
            </w:r>
          </w:p>
        </w:tc>
        <w:tc>
          <w:tcPr>
            <w:tcW w:w="1673" w:type="pct"/>
            <w:vAlign w:val="center"/>
          </w:tcPr>
          <w:p w:rsidR="00C479C3" w:rsidRPr="00286323" w:rsidRDefault="00C479C3" w:rsidP="00F71D3B">
            <w:pPr>
              <w:adjustRightInd w:val="0"/>
              <w:snapToGrid w:val="0"/>
              <w:spacing w:line="360" w:lineRule="auto"/>
              <w:jc w:val="center"/>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1.4396％</w:t>
            </w:r>
          </w:p>
        </w:tc>
      </w:tr>
      <w:tr w:rsidR="00286323" w:rsidRPr="00286323" w:rsidTr="00EB15C0">
        <w:trPr>
          <w:jc w:val="center"/>
        </w:trPr>
        <w:tc>
          <w:tcPr>
            <w:tcW w:w="3327" w:type="pct"/>
            <w:vAlign w:val="center"/>
          </w:tcPr>
          <w:p w:rsidR="00C479C3" w:rsidRPr="00286323" w:rsidRDefault="00C479C3" w:rsidP="00F71D3B">
            <w:pPr>
              <w:adjustRightInd w:val="0"/>
              <w:snapToGrid w:val="0"/>
              <w:spacing w:line="360" w:lineRule="auto"/>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珠海聚弘康股权投资合伙企业（有限合伙）</w:t>
            </w:r>
          </w:p>
        </w:tc>
        <w:tc>
          <w:tcPr>
            <w:tcW w:w="1673" w:type="pct"/>
            <w:vAlign w:val="center"/>
          </w:tcPr>
          <w:p w:rsidR="00C479C3" w:rsidRPr="00286323" w:rsidRDefault="00C479C3" w:rsidP="00F71D3B">
            <w:pPr>
              <w:adjustRightInd w:val="0"/>
              <w:snapToGrid w:val="0"/>
              <w:spacing w:line="360" w:lineRule="auto"/>
              <w:jc w:val="center"/>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1.5388％</w:t>
            </w:r>
          </w:p>
        </w:tc>
      </w:tr>
      <w:tr w:rsidR="00286323" w:rsidRPr="00286323" w:rsidTr="00EB15C0">
        <w:trPr>
          <w:jc w:val="center"/>
        </w:trPr>
        <w:tc>
          <w:tcPr>
            <w:tcW w:w="3327" w:type="pct"/>
            <w:vAlign w:val="center"/>
          </w:tcPr>
          <w:p w:rsidR="00C479C3" w:rsidRPr="00286323" w:rsidRDefault="00C479C3" w:rsidP="00F71D3B">
            <w:pPr>
              <w:adjustRightInd w:val="0"/>
              <w:snapToGrid w:val="0"/>
              <w:spacing w:line="360" w:lineRule="auto"/>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总</w:t>
            </w:r>
            <w:r w:rsidRPr="00286323">
              <w:rPr>
                <w:rFonts w:asciiTheme="minorEastAsia" w:eastAsiaTheme="minorEastAsia" w:hAnsiTheme="minorEastAsia" w:cs="Arial"/>
                <w:color w:val="000000" w:themeColor="text1"/>
              </w:rPr>
              <w:t>计</w:t>
            </w:r>
          </w:p>
        </w:tc>
        <w:tc>
          <w:tcPr>
            <w:tcW w:w="1673" w:type="pct"/>
            <w:vAlign w:val="center"/>
          </w:tcPr>
          <w:p w:rsidR="00C479C3" w:rsidRPr="00286323" w:rsidRDefault="00C479C3" w:rsidP="00F71D3B">
            <w:pPr>
              <w:adjustRightInd w:val="0"/>
              <w:snapToGrid w:val="0"/>
              <w:spacing w:line="360" w:lineRule="auto"/>
              <w:jc w:val="center"/>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100％</w:t>
            </w:r>
          </w:p>
        </w:tc>
      </w:tr>
    </w:tbl>
    <w:p w:rsidR="001A7CDB" w:rsidRPr="00286323" w:rsidRDefault="001A7CDB" w:rsidP="00F71D3B">
      <w:pPr>
        <w:pStyle w:val="20"/>
        <w:numPr>
          <w:ilvl w:val="0"/>
          <w:numId w:val="10"/>
        </w:numPr>
        <w:snapToGrid w:val="0"/>
        <w:spacing w:beforeLines="0" w:afterLines="0" w:line="360" w:lineRule="auto"/>
        <w:ind w:firstLineChars="0"/>
        <w:rPr>
          <w:rFonts w:asciiTheme="minorEastAsia" w:eastAsiaTheme="minorEastAsia" w:hAnsiTheme="minorEastAsia" w:cs="Arial"/>
          <w:b w:val="0"/>
          <w:bCs/>
          <w:color w:val="000000" w:themeColor="text1"/>
          <w:kern w:val="0"/>
          <w:szCs w:val="24"/>
        </w:rPr>
      </w:pPr>
      <w:bookmarkStart w:id="8" w:name="_Toc133292564"/>
      <w:bookmarkStart w:id="9" w:name="_Toc163189521"/>
      <w:r w:rsidRPr="00286323">
        <w:rPr>
          <w:rFonts w:asciiTheme="minorEastAsia" w:eastAsiaTheme="minorEastAsia" w:hAnsiTheme="minorEastAsia" w:cs="Arial"/>
          <w:b w:val="0"/>
          <w:bCs/>
          <w:color w:val="000000" w:themeColor="text1"/>
          <w:szCs w:val="21"/>
        </w:rPr>
        <w:t>主要人员情况</w:t>
      </w:r>
      <w:bookmarkEnd w:id="8"/>
      <w:bookmarkEnd w:id="9"/>
    </w:p>
    <w:p w:rsidR="00EF3018" w:rsidRPr="00286323" w:rsidRDefault="00EF3018" w:rsidP="00FB0EBA">
      <w:pPr>
        <w:pStyle w:val="af1"/>
        <w:adjustRightInd w:val="0"/>
        <w:spacing w:line="348" w:lineRule="auto"/>
        <w:ind w:firstLine="420"/>
        <w:textAlignment w:val="baseline"/>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1、董事、监事及高级管理人员</w:t>
      </w:r>
    </w:p>
    <w:p w:rsidR="0000645E" w:rsidRPr="00286323" w:rsidRDefault="0000645E" w:rsidP="0000645E">
      <w:pPr>
        <w:pStyle w:val="af1"/>
        <w:adjustRightInd w:val="0"/>
        <w:snapToGrid w:val="0"/>
        <w:spacing w:line="360" w:lineRule="auto"/>
        <w:ind w:firstLine="480"/>
        <w:textAlignment w:val="baseline"/>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詹余引先生，工商管理博士，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w:t>
      </w:r>
      <w:r w:rsidRPr="00286323">
        <w:rPr>
          <w:rFonts w:asciiTheme="minorEastAsia" w:eastAsiaTheme="minorEastAsia" w:hAnsiTheme="minorEastAsia" w:hint="eastAsia"/>
          <w:color w:val="000000" w:themeColor="text1"/>
        </w:rPr>
        <w:lastRenderedPageBreak/>
        <w:t>副总经理（主持工作），全国社会保障基金理事会投资部资产配置处处长、投资部副主任、境外投资部主任、投资部主任、证券投资部主任。现任易方达基金管理有限公司董事长，易方达国际控股有限公司董事长。</w:t>
      </w:r>
    </w:p>
    <w:p w:rsidR="0000645E" w:rsidRPr="00286323" w:rsidRDefault="0000645E" w:rsidP="0000645E">
      <w:pPr>
        <w:pStyle w:val="af1"/>
        <w:adjustRightInd w:val="0"/>
        <w:snapToGrid w:val="0"/>
        <w:spacing w:line="360" w:lineRule="auto"/>
        <w:ind w:firstLine="480"/>
        <w:textAlignment w:val="baseline"/>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刘晓艳女士，经济学博士，副董事长、总裁。曾任广发证券有限责任公司投资理财部副经理、基金经理</w:t>
      </w:r>
      <w:r w:rsidRPr="00286323">
        <w:rPr>
          <w:rFonts w:asciiTheme="minorEastAsia" w:eastAsiaTheme="minorEastAsia" w:hAnsiTheme="minorEastAsia"/>
          <w:color w:val="000000" w:themeColor="text1"/>
        </w:rPr>
        <w:t>、</w:t>
      </w:r>
      <w:r w:rsidRPr="00286323">
        <w:rPr>
          <w:rFonts w:asciiTheme="minorEastAsia" w:eastAsiaTheme="minorEastAsia" w:hAnsiTheme="minorEastAsia" w:hint="eastAsia"/>
          <w:color w:val="000000" w:themeColor="text1"/>
        </w:rPr>
        <w:t>基金投资理财部副总经理，易方达基金管理有限公司督察员、监察部总经理、市场部总经理、总裁助理、副总裁、常务副总裁，易方达资产管理有限公司董事，易方达资产管理（香港）有限公司董事长。现任易方达基金管理有限公司副董事长、总裁，易方达国际控股有限公司董事。</w:t>
      </w:r>
    </w:p>
    <w:p w:rsidR="0000645E" w:rsidRPr="00286323" w:rsidRDefault="0000645E" w:rsidP="0000645E">
      <w:pPr>
        <w:pStyle w:val="af1"/>
        <w:adjustRightInd w:val="0"/>
        <w:snapToGrid w:val="0"/>
        <w:spacing w:line="360" w:lineRule="auto"/>
        <w:ind w:firstLine="480"/>
        <w:textAlignment w:val="baseline"/>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周泽群先生，高级管理人员工商管理硕士（EMBA），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rsidR="0000645E" w:rsidRPr="00286323" w:rsidRDefault="0000645E" w:rsidP="0000645E">
      <w:pPr>
        <w:pStyle w:val="HTML"/>
        <w:shd w:val="clear" w:color="auto" w:fill="FFFFFF"/>
        <w:spacing w:line="360" w:lineRule="auto"/>
        <w:ind w:firstLineChars="200" w:firstLine="420"/>
        <w:rPr>
          <w:rFonts w:asciiTheme="minorEastAsia" w:eastAsiaTheme="minorEastAsia" w:hAnsiTheme="minorEastAsia"/>
          <w:color w:val="000000" w:themeColor="text1"/>
          <w:sz w:val="21"/>
          <w:szCs w:val="21"/>
        </w:rPr>
      </w:pPr>
      <w:r w:rsidRPr="00286323">
        <w:rPr>
          <w:rFonts w:asciiTheme="minorEastAsia" w:eastAsiaTheme="minorEastAsia" w:hAnsiTheme="minorEastAsia" w:hint="eastAsia"/>
          <w:color w:val="000000" w:themeColor="text1"/>
          <w:sz w:val="21"/>
          <w:szCs w:val="21"/>
        </w:rPr>
        <w:t>秦力先生，经济学博士，董事。曾任广发证券投资银行部常务副总经理、投资理财部总经理、资金营运部总经理、规划管理部总经理、投资部总经理、公司总经理助理、副总经理、常务副总经理，广东金融高新区股权交易中心有限公司董事长，广发证券资产管理（广东）有限公司董事长。现任易方达基金管理有限公司董事，广发证券股份有限公司执行董事、公司总监，广发控股（香港）有限公司董事长。</w:t>
      </w:r>
    </w:p>
    <w:p w:rsidR="0000645E" w:rsidRPr="00286323" w:rsidRDefault="0000645E" w:rsidP="0000645E">
      <w:pPr>
        <w:pStyle w:val="HTML"/>
        <w:shd w:val="clear" w:color="auto" w:fill="FFFFFF"/>
        <w:spacing w:line="360" w:lineRule="auto"/>
        <w:ind w:firstLineChars="200" w:firstLine="420"/>
        <w:rPr>
          <w:rFonts w:asciiTheme="minorEastAsia" w:eastAsiaTheme="minorEastAsia" w:hAnsiTheme="minorEastAsia"/>
          <w:color w:val="000000" w:themeColor="text1"/>
          <w:sz w:val="21"/>
          <w:szCs w:val="21"/>
        </w:rPr>
      </w:pPr>
      <w:r w:rsidRPr="00286323">
        <w:rPr>
          <w:rFonts w:asciiTheme="minorEastAsia" w:eastAsiaTheme="minorEastAsia" w:hAnsiTheme="minorEastAsia" w:hint="eastAsia"/>
          <w:color w:val="000000" w:themeColor="text1"/>
          <w:sz w:val="21"/>
          <w:szCs w:val="21"/>
        </w:rPr>
        <w:t>苏斌先生，管理学硕士，董事。曾任中富证券有限责任公司投行部经理，鸿商产业控股集团有限公司产业投资部执行董事，名力中国成长基金合伙人，复星能源环境与智能装备集团总裁。现任易方达基金管理有限公司董事，盈峰集团有限公司董事、副总裁，盈合（深圳）机器人与自动化科技有限公司董事长，广东民营投资股份有限公司董事，宁波盈峰股权投资基金管理有限公司执行董事，北京华录百纳影视股份有限公司董事。</w:t>
      </w:r>
    </w:p>
    <w:p w:rsidR="0000645E" w:rsidRPr="00286323" w:rsidRDefault="0000645E" w:rsidP="0000645E">
      <w:pPr>
        <w:pStyle w:val="HTML"/>
        <w:shd w:val="clear" w:color="auto" w:fill="FFFFFF"/>
        <w:spacing w:line="360" w:lineRule="auto"/>
        <w:ind w:firstLineChars="200" w:firstLine="420"/>
        <w:rPr>
          <w:rFonts w:asciiTheme="minorEastAsia" w:eastAsiaTheme="minorEastAsia" w:hAnsiTheme="minorEastAsia"/>
          <w:color w:val="000000" w:themeColor="text1"/>
          <w:sz w:val="21"/>
          <w:szCs w:val="21"/>
        </w:rPr>
      </w:pPr>
      <w:r w:rsidRPr="00286323">
        <w:rPr>
          <w:rFonts w:asciiTheme="minorEastAsia" w:eastAsiaTheme="minorEastAsia" w:hAnsiTheme="minorEastAsia" w:hint="eastAsia"/>
          <w:color w:val="000000" w:themeColor="text1"/>
          <w:sz w:val="21"/>
          <w:szCs w:val="21"/>
        </w:rPr>
        <w:t>潘文皓先生，经济学硕士，董事。曾任劲牌有限公司资金管理部综合分析员，云南锡业股份有限公司证券部业务主管、证券事务代表、证券部主任、董事会秘书、副总经理、董事，云南华联锌铟股份有限公司董事会办公室主任、董事会秘书、财务总监，云锡（深圳）融资租赁公司董事长，西藏巨龙铜业有限公司董事会秘书、董事，广晟有色金属股份有限公司董事会秘书。现任易方达基金管理有限公司董事，广东省广晟控股集团有限公司资本运营部副部长（主持工作），广东南粤银行股份有限公司董事，澳大利亚泛澳公司董事。</w:t>
      </w:r>
    </w:p>
    <w:p w:rsidR="0000645E" w:rsidRPr="00286323" w:rsidRDefault="0000645E" w:rsidP="0000645E">
      <w:pPr>
        <w:pStyle w:val="HTML"/>
        <w:shd w:val="clear" w:color="auto" w:fill="FFFFFF"/>
        <w:spacing w:line="360" w:lineRule="auto"/>
        <w:ind w:firstLineChars="200" w:firstLine="420"/>
        <w:rPr>
          <w:rFonts w:asciiTheme="minorEastAsia" w:eastAsiaTheme="minorEastAsia" w:hAnsiTheme="minorEastAsia"/>
          <w:color w:val="000000" w:themeColor="text1"/>
          <w:sz w:val="21"/>
          <w:szCs w:val="21"/>
        </w:rPr>
      </w:pPr>
      <w:r w:rsidRPr="00286323">
        <w:rPr>
          <w:rFonts w:asciiTheme="minorEastAsia" w:eastAsiaTheme="minorEastAsia" w:hAnsiTheme="minorEastAsia" w:hint="eastAsia"/>
          <w:color w:val="000000" w:themeColor="text1"/>
          <w:sz w:val="21"/>
          <w:szCs w:val="21"/>
        </w:rPr>
        <w:t>忻榕女士，工商行政管理博士，独立董事。曾任中科院研究生院讲师，美国加州高温橡胶公司市场部经理，美国加州大学讲师，美国南加州大学助理教授，香港科技大学副教</w:t>
      </w:r>
      <w:r w:rsidRPr="00286323">
        <w:rPr>
          <w:rFonts w:asciiTheme="minorEastAsia" w:eastAsiaTheme="minorEastAsia" w:hAnsiTheme="minorEastAsia" w:hint="eastAsia"/>
          <w:color w:val="000000" w:themeColor="text1"/>
          <w:sz w:val="21"/>
          <w:szCs w:val="21"/>
        </w:rPr>
        <w:lastRenderedPageBreak/>
        <w:t>授，中欧国际工商学院教授，瑞士洛桑管理学院教授。现任易方达基金管理有限公司独立董事，中欧国际工商学院教授，复星旅游文化集团（开曼）有限公司独立董事，上海汇招信息技术有限公司董事，上海卡恩文化传播股份有限公司独立董事，上海智篆文化传播有限公司董事。</w:t>
      </w:r>
    </w:p>
    <w:p w:rsidR="0000645E" w:rsidRPr="00286323" w:rsidRDefault="0000645E" w:rsidP="0000645E">
      <w:pPr>
        <w:pStyle w:val="HTML"/>
        <w:shd w:val="clear" w:color="auto" w:fill="FFFFFF"/>
        <w:spacing w:line="360" w:lineRule="auto"/>
        <w:ind w:firstLineChars="200" w:firstLine="420"/>
        <w:rPr>
          <w:rFonts w:asciiTheme="minorEastAsia" w:eastAsiaTheme="minorEastAsia" w:hAnsiTheme="minorEastAsia"/>
          <w:color w:val="000000" w:themeColor="text1"/>
          <w:sz w:val="21"/>
          <w:szCs w:val="21"/>
        </w:rPr>
      </w:pPr>
      <w:r w:rsidRPr="00286323">
        <w:rPr>
          <w:rFonts w:asciiTheme="minorEastAsia" w:eastAsiaTheme="minorEastAsia" w:hAnsiTheme="minorEastAsia" w:hint="eastAsia"/>
          <w:color w:val="000000" w:themeColor="text1"/>
          <w:sz w:val="21"/>
          <w:szCs w:val="21"/>
        </w:rPr>
        <w:t>谭劲松先生，管理学博士（会计学），独立董事。曾任邵阳市财会学校教师，中山大学管理学院助教、讲师、副教授。现任易方达基金管理有限公司独立董事，中山大学管理学院教授，中远海运特种运输股份有限公司独立董事，上海莱士血液制品股份有限公司独立董事，广州恒运企业集团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数字广东网络建设有限公司独立董事。</w:t>
      </w:r>
    </w:p>
    <w:p w:rsidR="0000645E" w:rsidRPr="00286323" w:rsidRDefault="0000645E" w:rsidP="0000645E">
      <w:pPr>
        <w:pStyle w:val="HTML"/>
        <w:shd w:val="clear" w:color="auto" w:fill="FFFFFF"/>
        <w:spacing w:line="360" w:lineRule="auto"/>
        <w:ind w:firstLineChars="200" w:firstLine="420"/>
        <w:rPr>
          <w:rFonts w:asciiTheme="minorEastAsia" w:eastAsiaTheme="minorEastAsia" w:hAnsiTheme="minorEastAsia"/>
          <w:color w:val="000000" w:themeColor="text1"/>
          <w:sz w:val="21"/>
          <w:szCs w:val="21"/>
        </w:rPr>
      </w:pPr>
      <w:r w:rsidRPr="00286323">
        <w:rPr>
          <w:rFonts w:asciiTheme="minorEastAsia" w:eastAsiaTheme="minorEastAsia" w:hAnsiTheme="minorEastAsia" w:hint="eastAsia"/>
          <w:color w:val="000000" w:themeColor="text1"/>
          <w:sz w:val="21"/>
          <w:szCs w:val="21"/>
        </w:rPr>
        <w:t>王承志先生，法学博士，独立董事。曾任美国天普大学法学院访问副教授。现任易方达基金管理有限公司独立董事，中山大学法学院副教授、博士生导师，广东省法学会国际法学研究会秘书长，中国国际私法学会理事，江苏凯强医学检验有限公司董事，广州茉莉数字科技集团股份有限公司独立董事，广东神朗律师事务所兼职律师。</w:t>
      </w:r>
    </w:p>
    <w:p w:rsidR="0000645E" w:rsidRPr="00286323" w:rsidRDefault="0000645E" w:rsidP="0000645E">
      <w:pPr>
        <w:pStyle w:val="HTML"/>
        <w:shd w:val="clear" w:color="auto" w:fill="FFFFFF"/>
        <w:spacing w:line="360" w:lineRule="auto"/>
        <w:ind w:firstLineChars="200" w:firstLine="420"/>
        <w:rPr>
          <w:rFonts w:asciiTheme="minorEastAsia" w:eastAsiaTheme="minorEastAsia" w:hAnsiTheme="minorEastAsia"/>
          <w:color w:val="000000" w:themeColor="text1"/>
          <w:sz w:val="21"/>
          <w:szCs w:val="21"/>
        </w:rPr>
      </w:pPr>
      <w:r w:rsidRPr="00286323">
        <w:rPr>
          <w:rFonts w:asciiTheme="minorEastAsia" w:eastAsiaTheme="minorEastAsia" w:hAnsiTheme="minorEastAsia" w:hint="eastAsia"/>
          <w:color w:val="000000" w:themeColor="text1"/>
          <w:sz w:val="21"/>
          <w:szCs w:val="21"/>
        </w:rPr>
        <w:t>刘发宏先生，工商管理硕士，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党委办主任、人力资源部总经理，广东粤财信托有限公司党委委员、副书记。现任易方达基金管理有限公司监事会主席，广东粤财信托有限公司董事，广东省融资再担保有限公司监事长。</w:t>
      </w:r>
    </w:p>
    <w:p w:rsidR="0000645E" w:rsidRPr="00286323" w:rsidRDefault="0000645E" w:rsidP="0000645E">
      <w:pPr>
        <w:pStyle w:val="HTML"/>
        <w:shd w:val="clear" w:color="auto" w:fill="FFFFFF"/>
        <w:spacing w:line="360" w:lineRule="auto"/>
        <w:ind w:firstLineChars="200" w:firstLine="420"/>
        <w:rPr>
          <w:rFonts w:asciiTheme="minorEastAsia" w:eastAsiaTheme="minorEastAsia" w:hAnsiTheme="minorEastAsia"/>
          <w:color w:val="000000" w:themeColor="text1"/>
          <w:sz w:val="21"/>
          <w:szCs w:val="21"/>
        </w:rPr>
      </w:pPr>
      <w:r w:rsidRPr="00286323">
        <w:rPr>
          <w:rFonts w:asciiTheme="minorEastAsia" w:eastAsiaTheme="minorEastAsia" w:hAnsiTheme="minorEastAsia" w:hint="eastAsia"/>
          <w:color w:val="000000" w:themeColor="text1"/>
          <w:sz w:val="21"/>
          <w:szCs w:val="21"/>
        </w:rPr>
        <w:t>危勇先生，经济学博士，监事。曾任中国水利水电第八工程局三产实业开发部秘书，中国人民银行广州分行统计研究处干部、货币信贷管理处主任科员、营管部综合处助理调研员，广州金融控股集团有限公司行政办公室主任，广州金融资产交易中心有限公司董事，广州股权交易中心有限公司董事，广州广永丽都酒店有限公司董事长。现任易方达基金管</w:t>
      </w:r>
      <w:r w:rsidRPr="00286323">
        <w:rPr>
          <w:rFonts w:asciiTheme="minorEastAsia" w:eastAsiaTheme="minorEastAsia" w:hAnsiTheme="minorEastAsia" w:hint="eastAsia"/>
          <w:color w:val="000000" w:themeColor="text1"/>
          <w:sz w:val="21"/>
          <w:szCs w:val="21"/>
        </w:rPr>
        <w:lastRenderedPageBreak/>
        <w:t>理有限公司监事，广州市广永国有资产经营有限公司董事长、总裁，广州赛马娱乐总公司董事，万联证券股份有限公司监事，广州银行股份有限公司董事，广州广永投资管理有限公司董事长。</w:t>
      </w:r>
    </w:p>
    <w:p w:rsidR="0000645E" w:rsidRPr="00286323" w:rsidRDefault="0000645E" w:rsidP="0000645E">
      <w:pPr>
        <w:pStyle w:val="HTML"/>
        <w:shd w:val="clear" w:color="auto" w:fill="FFFFFF"/>
        <w:spacing w:line="360" w:lineRule="auto"/>
        <w:ind w:firstLineChars="200" w:firstLine="420"/>
        <w:rPr>
          <w:rFonts w:asciiTheme="minorEastAsia" w:eastAsiaTheme="minorEastAsia" w:hAnsiTheme="minorEastAsia"/>
          <w:color w:val="000000" w:themeColor="text1"/>
          <w:sz w:val="21"/>
          <w:szCs w:val="21"/>
        </w:rPr>
      </w:pPr>
      <w:r w:rsidRPr="00286323">
        <w:rPr>
          <w:rFonts w:asciiTheme="minorEastAsia" w:eastAsiaTheme="minorEastAsia" w:hAnsiTheme="minorEastAsia" w:hint="eastAsia"/>
          <w:color w:val="000000" w:themeColor="text1"/>
          <w:sz w:val="21"/>
          <w:szCs w:val="21"/>
        </w:rPr>
        <w:t>廖智先生，经济学硕士，监事。曾任广东证券股份有限公司基金部主管，易方达基金管理有限公司综合管理部副总经理、人力资源部副总经理、市场部总经理、互联网金融部总经理、综合管理部总经理。现任易方达基金管理有限公司监事、总裁助理、行政管理部总经理，广东粤财互联网金融股份有限公司董事。</w:t>
      </w:r>
    </w:p>
    <w:p w:rsidR="0000645E" w:rsidRPr="00286323" w:rsidRDefault="0000645E" w:rsidP="0000645E">
      <w:pPr>
        <w:pStyle w:val="HTML"/>
        <w:shd w:val="clear" w:color="auto" w:fill="FFFFFF"/>
        <w:spacing w:line="360" w:lineRule="auto"/>
        <w:ind w:firstLineChars="200" w:firstLine="420"/>
        <w:rPr>
          <w:rFonts w:asciiTheme="minorEastAsia" w:eastAsiaTheme="minorEastAsia" w:hAnsiTheme="minorEastAsia"/>
          <w:color w:val="000000" w:themeColor="text1"/>
          <w:sz w:val="21"/>
          <w:szCs w:val="21"/>
        </w:rPr>
      </w:pPr>
      <w:r w:rsidRPr="00286323">
        <w:rPr>
          <w:rFonts w:asciiTheme="minorEastAsia" w:eastAsiaTheme="minorEastAsia" w:hAnsiTheme="minorEastAsia" w:hint="eastAsia"/>
          <w:color w:val="000000" w:themeColor="text1"/>
          <w:sz w:val="21"/>
          <w:szCs w:val="21"/>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党群工作部总经理。</w:t>
      </w:r>
    </w:p>
    <w:p w:rsidR="0000645E" w:rsidRPr="00286323" w:rsidRDefault="0000645E" w:rsidP="0000645E">
      <w:pPr>
        <w:pStyle w:val="HTML"/>
        <w:shd w:val="clear" w:color="auto" w:fill="FFFFFF"/>
        <w:spacing w:line="360" w:lineRule="auto"/>
        <w:ind w:firstLineChars="200" w:firstLine="420"/>
        <w:rPr>
          <w:rFonts w:asciiTheme="minorEastAsia" w:eastAsiaTheme="minorEastAsia" w:hAnsiTheme="minorEastAsia"/>
          <w:color w:val="000000" w:themeColor="text1"/>
          <w:sz w:val="21"/>
          <w:szCs w:val="21"/>
        </w:rPr>
      </w:pPr>
      <w:r w:rsidRPr="00286323">
        <w:rPr>
          <w:rFonts w:asciiTheme="minorEastAsia" w:eastAsiaTheme="minorEastAsia" w:hAnsiTheme="minorEastAsia" w:hint="eastAsia"/>
          <w:color w:val="000000" w:themeColor="text1"/>
          <w:sz w:val="21"/>
          <w:szCs w:val="21"/>
        </w:rPr>
        <w:t>刘炜先生，工商管理硕士（EMBA）、法学硕士，监事。曾任易方达基金管理有限公司监察部监察员、上海分公司销售经理、市场部总经理助理、人力资源部副总经理、综合管理部总经理。现任易方达基金管理有限公司监事、人力资源部总经理。</w:t>
      </w:r>
    </w:p>
    <w:p w:rsidR="0000645E" w:rsidRPr="00286323" w:rsidRDefault="0000645E" w:rsidP="0000645E">
      <w:pPr>
        <w:pStyle w:val="HTML"/>
        <w:shd w:val="clear" w:color="auto" w:fill="FFFFFF"/>
        <w:spacing w:line="360" w:lineRule="auto"/>
        <w:ind w:firstLineChars="200" w:firstLine="420"/>
        <w:rPr>
          <w:rFonts w:asciiTheme="minorEastAsia" w:eastAsiaTheme="minorEastAsia" w:hAnsiTheme="minorEastAsia"/>
          <w:color w:val="000000" w:themeColor="text1"/>
          <w:sz w:val="21"/>
          <w:szCs w:val="21"/>
        </w:rPr>
      </w:pPr>
      <w:r w:rsidRPr="00286323">
        <w:rPr>
          <w:rFonts w:asciiTheme="minorEastAsia" w:eastAsiaTheme="minorEastAsia" w:hAnsiTheme="minorEastAsia" w:hint="eastAsia"/>
          <w:color w:val="000000" w:themeColor="text1"/>
          <w:sz w:val="21"/>
          <w:szCs w:val="21"/>
        </w:rPr>
        <w:t>马骏先生，工商管理硕士（EMBA），常务副总裁。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现任易方达基金管理有限公司常务副总裁、固定收益投资决策委员会委员，易方达资产管理（香港）有限公司董事长、人民币合格境外投资者（</w:t>
      </w:r>
      <w:r w:rsidRPr="00286323">
        <w:rPr>
          <w:rFonts w:asciiTheme="minorEastAsia" w:eastAsiaTheme="minorEastAsia" w:hAnsiTheme="minorEastAsia"/>
          <w:color w:val="000000" w:themeColor="text1"/>
          <w:sz w:val="21"/>
          <w:szCs w:val="21"/>
        </w:rPr>
        <w:t>RQFII</w:t>
      </w:r>
      <w:r w:rsidRPr="00286323">
        <w:rPr>
          <w:rFonts w:asciiTheme="minorEastAsia" w:eastAsiaTheme="minorEastAsia" w:hAnsiTheme="minorEastAsia" w:hint="eastAsia"/>
          <w:color w:val="000000" w:themeColor="text1"/>
          <w:sz w:val="21"/>
          <w:szCs w:val="21"/>
        </w:rPr>
        <w:t>）业务负责人、证券交易负责人员（</w:t>
      </w:r>
      <w:r w:rsidRPr="00286323">
        <w:rPr>
          <w:rFonts w:asciiTheme="minorEastAsia" w:eastAsiaTheme="minorEastAsia" w:hAnsiTheme="minorEastAsia"/>
          <w:color w:val="000000" w:themeColor="text1"/>
          <w:sz w:val="21"/>
          <w:szCs w:val="21"/>
        </w:rPr>
        <w:t>RO</w:t>
      </w:r>
      <w:r w:rsidRPr="00286323">
        <w:rPr>
          <w:rFonts w:asciiTheme="minorEastAsia" w:eastAsiaTheme="minorEastAsia" w:hAnsiTheme="minorEastAsia" w:hint="eastAsia"/>
          <w:color w:val="000000" w:themeColor="text1"/>
          <w:sz w:val="21"/>
          <w:szCs w:val="21"/>
        </w:rPr>
        <w:t>）、就证券提供意见负责人员（</w:t>
      </w:r>
      <w:r w:rsidRPr="00286323">
        <w:rPr>
          <w:rFonts w:asciiTheme="minorEastAsia" w:eastAsiaTheme="minorEastAsia" w:hAnsiTheme="minorEastAsia"/>
          <w:color w:val="000000" w:themeColor="text1"/>
          <w:sz w:val="21"/>
          <w:szCs w:val="21"/>
        </w:rPr>
        <w:t>RO</w:t>
      </w:r>
      <w:r w:rsidRPr="00286323">
        <w:rPr>
          <w:rFonts w:asciiTheme="minorEastAsia" w:eastAsiaTheme="minorEastAsia" w:hAnsiTheme="minorEastAsia" w:hint="eastAsia"/>
          <w:color w:val="000000" w:themeColor="text1"/>
          <w:sz w:val="21"/>
          <w:szCs w:val="21"/>
        </w:rPr>
        <w:t>）、提供资产管理负责人员（</w:t>
      </w:r>
      <w:r w:rsidRPr="00286323">
        <w:rPr>
          <w:rFonts w:asciiTheme="minorEastAsia" w:eastAsiaTheme="minorEastAsia" w:hAnsiTheme="minorEastAsia"/>
          <w:color w:val="000000" w:themeColor="text1"/>
          <w:sz w:val="21"/>
          <w:szCs w:val="21"/>
        </w:rPr>
        <w:t>RO</w:t>
      </w:r>
      <w:r w:rsidRPr="00286323">
        <w:rPr>
          <w:rFonts w:asciiTheme="minorEastAsia" w:eastAsiaTheme="minorEastAsia" w:hAnsiTheme="minorEastAsia" w:hint="eastAsia"/>
          <w:color w:val="000000" w:themeColor="text1"/>
          <w:sz w:val="21"/>
          <w:szCs w:val="21"/>
        </w:rPr>
        <w:t>）、产品审批委员会委员。</w:t>
      </w:r>
    </w:p>
    <w:p w:rsidR="0000645E" w:rsidRPr="00286323" w:rsidRDefault="0000645E" w:rsidP="0000645E">
      <w:pPr>
        <w:pStyle w:val="HTML"/>
        <w:shd w:val="clear" w:color="auto" w:fill="FFFFFF"/>
        <w:spacing w:line="360" w:lineRule="auto"/>
        <w:ind w:firstLineChars="200" w:firstLine="420"/>
        <w:rPr>
          <w:rFonts w:asciiTheme="minorEastAsia" w:eastAsiaTheme="minorEastAsia" w:hAnsiTheme="minorEastAsia"/>
          <w:color w:val="000000" w:themeColor="text1"/>
          <w:sz w:val="21"/>
          <w:szCs w:val="21"/>
        </w:rPr>
      </w:pPr>
      <w:r w:rsidRPr="00286323">
        <w:rPr>
          <w:rFonts w:asciiTheme="minorEastAsia" w:eastAsiaTheme="minorEastAsia" w:hAnsiTheme="minorEastAsia" w:hint="eastAsia"/>
          <w:color w:val="000000" w:themeColor="text1"/>
          <w:sz w:val="21"/>
          <w:szCs w:val="21"/>
        </w:rPr>
        <w:t>吴欣荣先生，工学硕士，常务副总裁。曾任易方达基金管理有限公司研究员、投资管理部经理、基金经理、基金投资部副总经理、研究部副总经理、研究部总经理、基金投资部总经理、公募基金投资部总经理、权益投资总部总经理、总裁助理、权益投资总监，易方达国际控股有限公司董事。现任易方达基金管理有限公司常务副总裁、权益投资决策委员会委员，易方达资产管理（香港）有限公司董事。</w:t>
      </w:r>
    </w:p>
    <w:p w:rsidR="0000645E" w:rsidRPr="00286323" w:rsidRDefault="0000645E" w:rsidP="0000645E">
      <w:pPr>
        <w:pStyle w:val="HTML"/>
        <w:shd w:val="clear" w:color="auto" w:fill="FFFFFF"/>
        <w:spacing w:line="360" w:lineRule="auto"/>
        <w:ind w:firstLineChars="200" w:firstLine="420"/>
        <w:rPr>
          <w:rFonts w:asciiTheme="minorEastAsia" w:eastAsiaTheme="minorEastAsia" w:hAnsiTheme="minorEastAsia"/>
          <w:color w:val="000000" w:themeColor="text1"/>
          <w:sz w:val="21"/>
          <w:szCs w:val="21"/>
        </w:rPr>
      </w:pPr>
      <w:r w:rsidRPr="00286323">
        <w:rPr>
          <w:rFonts w:asciiTheme="minorEastAsia" w:eastAsiaTheme="minorEastAsia" w:hAnsiTheme="minorEastAsia" w:hint="eastAsia"/>
          <w:color w:val="000000" w:themeColor="text1"/>
          <w:sz w:val="21"/>
          <w:szCs w:val="21"/>
        </w:rPr>
        <w:t>陈彤先生，经济学博士，副总经理级高级管理人员。曾任中国经济开发信托投资公司成都营业部研发部副经理、交易部经理、研发部经理、证券总部研究部行业研究员，易方</w:t>
      </w:r>
      <w:r w:rsidRPr="00286323">
        <w:rPr>
          <w:rFonts w:asciiTheme="minorEastAsia" w:eastAsiaTheme="minorEastAsia" w:hAnsiTheme="minorEastAsia" w:hint="eastAsia"/>
          <w:color w:val="000000" w:themeColor="text1"/>
          <w:sz w:val="21"/>
          <w:szCs w:val="21"/>
        </w:rPr>
        <w:lastRenderedPageBreak/>
        <w:t>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rsidR="0000645E" w:rsidRPr="00286323" w:rsidRDefault="0000645E" w:rsidP="0000645E">
      <w:pPr>
        <w:pStyle w:val="HTML"/>
        <w:shd w:val="clear" w:color="auto" w:fill="FFFFFF"/>
        <w:spacing w:line="360" w:lineRule="auto"/>
        <w:ind w:firstLineChars="200" w:firstLine="420"/>
        <w:rPr>
          <w:rFonts w:asciiTheme="minorEastAsia" w:eastAsiaTheme="minorEastAsia" w:hAnsiTheme="minorEastAsia"/>
          <w:color w:val="000000" w:themeColor="text1"/>
          <w:sz w:val="21"/>
          <w:szCs w:val="21"/>
        </w:rPr>
      </w:pPr>
      <w:r w:rsidRPr="00286323">
        <w:rPr>
          <w:rFonts w:asciiTheme="minorEastAsia" w:eastAsiaTheme="minorEastAsia" w:hAnsiTheme="minorEastAsia" w:hint="eastAsia"/>
          <w:color w:val="000000" w:themeColor="text1"/>
          <w:sz w:val="21"/>
          <w:szCs w:val="21"/>
        </w:rPr>
        <w:t>张南女士，经济学博士，督察长。曾任广东省经济贸易委员会主任科员、副处长，易方达基金管理有限公司市场拓展部副总经理、监察部总经理。现任易方达基金管理有限公司督察长。</w:t>
      </w:r>
    </w:p>
    <w:p w:rsidR="0000645E" w:rsidRPr="00286323" w:rsidRDefault="0000645E" w:rsidP="0000645E">
      <w:pPr>
        <w:pStyle w:val="HTML"/>
        <w:shd w:val="clear" w:color="auto" w:fill="FFFFFF"/>
        <w:spacing w:line="360" w:lineRule="auto"/>
        <w:ind w:firstLineChars="200" w:firstLine="420"/>
        <w:rPr>
          <w:rFonts w:asciiTheme="minorEastAsia" w:eastAsiaTheme="minorEastAsia" w:hAnsiTheme="minorEastAsia"/>
          <w:color w:val="000000" w:themeColor="text1"/>
          <w:sz w:val="21"/>
          <w:szCs w:val="21"/>
        </w:rPr>
      </w:pPr>
      <w:r w:rsidRPr="00286323">
        <w:rPr>
          <w:rFonts w:asciiTheme="minorEastAsia" w:eastAsiaTheme="minorEastAsia" w:hAnsiTheme="minorEastAsia" w:hint="eastAsia"/>
          <w:color w:val="000000" w:themeColor="text1"/>
          <w:sz w:val="21"/>
          <w:szCs w:val="21"/>
        </w:rPr>
        <w:t>范岳先生，工商管理硕士，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现任易方达基金管理有限公司副总经理级高级管理人员。</w:t>
      </w:r>
    </w:p>
    <w:p w:rsidR="0000645E" w:rsidRPr="00286323" w:rsidRDefault="0000645E" w:rsidP="0000645E">
      <w:pPr>
        <w:pStyle w:val="af1"/>
        <w:adjustRightInd w:val="0"/>
        <w:spacing w:line="360" w:lineRule="auto"/>
        <w:ind w:firstLine="480"/>
        <w:textAlignment w:val="baseline"/>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高松凡先生</w:t>
      </w:r>
      <w:r w:rsidRPr="00286323">
        <w:rPr>
          <w:rFonts w:asciiTheme="minorEastAsia" w:eastAsiaTheme="minorEastAsia" w:hAnsiTheme="minorEastAsia" w:hint="eastAsia"/>
          <w:color w:val="000000" w:themeColor="text1"/>
          <w:kern w:val="0"/>
        </w:rPr>
        <w:t>，</w:t>
      </w:r>
      <w:r w:rsidRPr="00286323">
        <w:rPr>
          <w:rFonts w:asciiTheme="minorEastAsia" w:eastAsiaTheme="minorEastAsia" w:hAnsiTheme="minorEastAsia" w:hint="eastAsia"/>
          <w:color w:val="000000" w:themeColor="text1"/>
        </w:rPr>
        <w:t>工商管理硕士（E</w:t>
      </w:r>
      <w:r w:rsidRPr="00286323">
        <w:rPr>
          <w:rFonts w:asciiTheme="minorEastAsia" w:eastAsiaTheme="minorEastAsia" w:hAnsiTheme="minorEastAsia"/>
          <w:color w:val="000000" w:themeColor="text1"/>
        </w:rPr>
        <w:t>MBA</w:t>
      </w:r>
      <w:r w:rsidRPr="00286323">
        <w:rPr>
          <w:rFonts w:asciiTheme="minorEastAsia" w:eastAsiaTheme="minorEastAsia" w:hAnsiTheme="minorEastAsia" w:hint="eastAsia"/>
          <w:color w:val="000000" w:themeColor="text1"/>
        </w:rPr>
        <w:t>）</w:t>
      </w:r>
      <w:r w:rsidRPr="00286323">
        <w:rPr>
          <w:rFonts w:asciiTheme="minorEastAsia" w:eastAsiaTheme="minorEastAsia" w:hAnsiTheme="minorEastAsia" w:hint="eastAsia"/>
          <w:color w:val="000000" w:themeColor="text1"/>
          <w:kern w:val="0"/>
        </w:rPr>
        <w:t>，</w:t>
      </w:r>
      <w:r w:rsidRPr="00286323">
        <w:rPr>
          <w:rFonts w:asciiTheme="minorEastAsia" w:eastAsiaTheme="minorEastAsia" w:hAnsiTheme="minorEastAsia" w:hint="eastAsia"/>
          <w:color w:val="000000" w:themeColor="text1"/>
        </w:rPr>
        <w:t>副总经理级</w:t>
      </w:r>
      <w:r w:rsidRPr="00286323">
        <w:rPr>
          <w:rFonts w:asciiTheme="minorEastAsia" w:eastAsiaTheme="minorEastAsia" w:hAnsiTheme="minorEastAsia" w:hint="eastAsia"/>
          <w:color w:val="000000" w:themeColor="text1"/>
          <w:kern w:val="0"/>
        </w:rPr>
        <w:t>高级管理人员。曾任</w:t>
      </w:r>
      <w:r w:rsidRPr="00286323">
        <w:rPr>
          <w:rFonts w:asciiTheme="minorEastAsia" w:eastAsiaTheme="minorEastAsia" w:hAnsiTheme="minorEastAsia" w:hint="eastAsia"/>
          <w:color w:val="000000" w:themeColor="text1"/>
        </w:rPr>
        <w:t>招商银行总行人事部高级经理、企业年金中心副主任，浦东发展银行总行企业年金部总经理，长江养老保险公司首席市场总监，易方达基金管理有限公司养老金业务总监。现任易方达基金管理有限公司副总经理级高级管理人员。</w:t>
      </w:r>
    </w:p>
    <w:p w:rsidR="0000645E" w:rsidRPr="00286323" w:rsidRDefault="0000645E" w:rsidP="0000645E">
      <w:pPr>
        <w:pStyle w:val="af1"/>
        <w:adjustRightInd w:val="0"/>
        <w:spacing w:line="360" w:lineRule="auto"/>
        <w:ind w:firstLine="480"/>
        <w:textAlignment w:val="baseline"/>
        <w:rPr>
          <w:rFonts w:asciiTheme="minorEastAsia" w:eastAsiaTheme="minorEastAsia" w:hAnsiTheme="minorEastAsia"/>
          <w:color w:val="000000" w:themeColor="text1"/>
          <w:kern w:val="0"/>
        </w:rPr>
      </w:pPr>
      <w:r w:rsidRPr="00286323">
        <w:rPr>
          <w:rFonts w:asciiTheme="minorEastAsia" w:eastAsiaTheme="minorEastAsia" w:hAnsiTheme="minorEastAsia" w:hint="eastAsia"/>
          <w:color w:val="000000" w:themeColor="text1"/>
          <w:kern w:val="0"/>
        </w:rPr>
        <w:t>关秀霞女士，工商管理硕士、金融学硕士，</w:t>
      </w:r>
      <w:r w:rsidRPr="00286323">
        <w:rPr>
          <w:rFonts w:asciiTheme="minorEastAsia" w:eastAsiaTheme="minorEastAsia" w:hAnsiTheme="minorEastAsia" w:hint="eastAsia"/>
          <w:color w:val="000000" w:themeColor="text1"/>
        </w:rPr>
        <w:t>副总经理级</w:t>
      </w:r>
      <w:r w:rsidRPr="00286323">
        <w:rPr>
          <w:rFonts w:asciiTheme="minorEastAsia" w:eastAsiaTheme="minorEastAsia" w:hAnsiTheme="minorEastAsia" w:hint="eastAsia"/>
          <w:color w:val="000000" w:themeColor="text1"/>
          <w:kern w:val="0"/>
        </w:rPr>
        <w:t>高级管理人员。曾任中国银行（香港）有限公司分析员，Daniel Dennis高级审计师，美国道富银行公司内部审计部高级审计师、美国共同基金业务风险经理、亚洲区（除日本外）机构服务主管、亚洲区（除日本外）副总裁、大中华地区董事总经理、大中华地区高级副总裁、中国区行长。现任易方达基金管理有限公司</w:t>
      </w:r>
      <w:r w:rsidRPr="00286323">
        <w:rPr>
          <w:rFonts w:asciiTheme="minorEastAsia" w:eastAsiaTheme="minorEastAsia" w:hAnsiTheme="minorEastAsia" w:hint="eastAsia"/>
          <w:color w:val="000000" w:themeColor="text1"/>
        </w:rPr>
        <w:t>副总经理级</w:t>
      </w:r>
      <w:r w:rsidRPr="00286323">
        <w:rPr>
          <w:rFonts w:asciiTheme="minorEastAsia" w:eastAsiaTheme="minorEastAsia" w:hAnsiTheme="minorEastAsia" w:hint="eastAsia"/>
          <w:color w:val="000000" w:themeColor="text1"/>
          <w:kern w:val="0"/>
        </w:rPr>
        <w:t>高级管理人员。</w:t>
      </w:r>
    </w:p>
    <w:p w:rsidR="0000645E" w:rsidRPr="00286323" w:rsidRDefault="0000645E" w:rsidP="0000645E">
      <w:pPr>
        <w:pStyle w:val="af1"/>
        <w:adjustRightInd w:val="0"/>
        <w:spacing w:line="360" w:lineRule="auto"/>
        <w:ind w:firstLine="480"/>
        <w:textAlignment w:val="baseline"/>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国际控股有限公司董事，易方达资产管理（香港）有限公司董事，易方达资产管理有限公司监事，易方达海外投资（深圳）有限公司监事。</w:t>
      </w:r>
    </w:p>
    <w:p w:rsidR="0000645E" w:rsidRPr="00286323" w:rsidRDefault="0000645E" w:rsidP="0000645E">
      <w:pPr>
        <w:pStyle w:val="af1"/>
        <w:adjustRightInd w:val="0"/>
        <w:spacing w:line="360" w:lineRule="auto"/>
        <w:ind w:firstLine="480"/>
        <w:textAlignment w:val="baseline"/>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张坤先生，理学硕士，副总经理级高级管理人员。曾任易方达基金管理有限公司行业研究员、基金经理助理、研究部总经理助理。现任易方达基金管理有限公司副总经理级高</w:t>
      </w:r>
      <w:r w:rsidRPr="00286323">
        <w:rPr>
          <w:rFonts w:asciiTheme="minorEastAsia" w:eastAsiaTheme="minorEastAsia" w:hAnsiTheme="minorEastAsia" w:hint="eastAsia"/>
          <w:color w:val="000000" w:themeColor="text1"/>
        </w:rPr>
        <w:lastRenderedPageBreak/>
        <w:t>级管理人员、权益投资决策委员会委员、基金经理。</w:t>
      </w:r>
    </w:p>
    <w:p w:rsidR="0000645E" w:rsidRPr="00286323" w:rsidRDefault="0000645E" w:rsidP="0000645E">
      <w:pPr>
        <w:autoSpaceDE w:val="0"/>
        <w:autoSpaceDN w:val="0"/>
        <w:spacing w:line="360" w:lineRule="auto"/>
        <w:ind w:firstLineChars="200" w:firstLine="420"/>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胡剑先生，经济学硕士，副总经理级高级管理人员。曾任易方达基金管理有限公司债券研究员、基金经理助理、固定收益研究部负责人、固定收益总部总经理助理、固定收益研究部总经理、固定收益投资部总经理。现任易方达基金管理有限公司副总经理级高级管理人员、固定收益投资业务总部总经理、固定收益投资决策委员会委员、基金经理。</w:t>
      </w:r>
    </w:p>
    <w:p w:rsidR="0000645E" w:rsidRPr="00286323" w:rsidRDefault="0000645E" w:rsidP="0000645E">
      <w:pPr>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张清华先生，物理学硕士，副总经理级高级管理人员。曾任晨星资讯（深圳）有限公司数量分析师，中信证券股份有限公司研究员，易方达基金管理有限公司投资经理、固定收益基金投资部总经理、混合资产投资部总经理。现任易方达基金管理有限公司副总经理级高级管理人员、多资产投资业务总部总经理、固定收益投资决策委员会委员、基金经理。</w:t>
      </w:r>
    </w:p>
    <w:p w:rsidR="0000645E" w:rsidRPr="00286323" w:rsidRDefault="0000645E" w:rsidP="0000645E">
      <w:pPr>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冯波先生，经济学硕士，副总经理级高级管理人员。曾任广东发展银行行员，易方达基金管理有限公司市场拓展部研究员、市场拓展部副经理、市场部大区销售经理、北京分公司副总经理、行业研究员、基金经理助理、研究部总经理助理、研究部副总经理。现任易方达基金管理有限公司副总经理级高级管理人员、研究部总经理、权益投资决策委员会委员、基金经理。</w:t>
      </w:r>
    </w:p>
    <w:p w:rsidR="0000645E" w:rsidRPr="00286323" w:rsidRDefault="0000645E" w:rsidP="0000645E">
      <w:pPr>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陈皓先生，管理学硕士，副总经理级高级管理人员。曾任易方达基金管理有限公司行业研究员、基金经理助理、投资一部总经理助理、投资一部副总经理、投资经理。现任易方达基金管理有限公司副总经理级高级管理人员、投资一部总经理、权益投资决策委员会委员、基金经理。</w:t>
      </w:r>
    </w:p>
    <w:p w:rsidR="0000645E" w:rsidRPr="00286323" w:rsidRDefault="0000645E" w:rsidP="0000645E">
      <w:pPr>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娄利舟女士，工商管理硕士</w:t>
      </w:r>
      <w:r w:rsidRPr="00286323">
        <w:rPr>
          <w:rFonts w:asciiTheme="minorEastAsia" w:eastAsiaTheme="minorEastAsia" w:hAnsiTheme="minorEastAsia" w:cs="Courier New" w:hint="eastAsia"/>
          <w:color w:val="000000" w:themeColor="text1"/>
        </w:rPr>
        <w:t>（EMBA）</w:t>
      </w:r>
      <w:r w:rsidRPr="00286323">
        <w:rPr>
          <w:rFonts w:asciiTheme="minorEastAsia" w:eastAsiaTheme="minorEastAsia" w:hAnsiTheme="minorEastAsia" w:hint="eastAsia"/>
          <w:color w:val="000000" w:themeColor="text1"/>
        </w:rPr>
        <w:t>、经济学硕士，副总经理级高级管理人员。曾任联合证券有限责任公司证券营业部分析师、研究所策略研究员、经纪业务部高级经理，易方达基金管理有限公司销售支持中心经理、市场部总经理助理、市场部副总经理、广州分公司总经理、北京分公司总经理、总裁助理，易方达资产管理有限公司总经理。现任易方达基金管理有限公司副总经理级高级管理人员、FOF投资决策委员会委员，易方达资产管理有限公司董事长，易方达资产管理（香港）有限公司董事。</w:t>
      </w:r>
    </w:p>
    <w:p w:rsidR="0000645E" w:rsidRPr="00286323" w:rsidRDefault="0000645E" w:rsidP="0000645E">
      <w:pPr>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萧楠先生，经济学硕士，副总经理级高级管理人员。曾任易方达基金管理有限公司行业研究员、基金经理助理、投资经理。现任易方达基金管理有限公司副总经理级高级管理人员、投资三部总经理、研究部副总经理、基金经理。</w:t>
      </w:r>
    </w:p>
    <w:p w:rsidR="0000645E" w:rsidRPr="00286323" w:rsidRDefault="0000645E" w:rsidP="0000645E">
      <w:pPr>
        <w:spacing w:line="360" w:lineRule="auto"/>
        <w:ind w:firstLineChars="200" w:firstLine="420"/>
        <w:rPr>
          <w:rStyle w:val="da"/>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管勇先生，理学硕士，首席信息官。曾任长城证券有限责任公司信息技术中心职员、营业部电脑部经理，金</w:t>
      </w:r>
      <w:r w:rsidRPr="00286323">
        <w:rPr>
          <w:rStyle w:val="da"/>
          <w:rFonts w:asciiTheme="minorEastAsia" w:eastAsiaTheme="minorEastAsia" w:hAnsiTheme="minorEastAsia" w:hint="eastAsia"/>
          <w:color w:val="000000" w:themeColor="text1"/>
        </w:rPr>
        <w:t>鹰基金管理有限公司运作保障部经理、总监助理、副总监、总监，国泰基金管理有限公司信息技术部副总监（主持工作）、总监，易方达基金管理有限公司信息技术部副总经理、系统研发部副总经理、技术运营部总经理。现任易方达基金管理有限公司首席信息官、数据平台研发中心总经理、规划与支持中心总经理。</w:t>
      </w:r>
    </w:p>
    <w:p w:rsidR="0000645E" w:rsidRPr="00286323" w:rsidRDefault="0000645E" w:rsidP="0000645E">
      <w:pPr>
        <w:spacing w:line="360" w:lineRule="auto"/>
        <w:ind w:firstLineChars="200" w:firstLine="420"/>
        <w:rPr>
          <w:rStyle w:val="da"/>
          <w:rFonts w:asciiTheme="minorEastAsia" w:eastAsiaTheme="minorEastAsia" w:hAnsiTheme="minorEastAsia"/>
          <w:color w:val="000000" w:themeColor="text1"/>
        </w:rPr>
      </w:pPr>
      <w:r w:rsidRPr="00286323">
        <w:rPr>
          <w:rStyle w:val="da"/>
          <w:rFonts w:asciiTheme="minorEastAsia" w:eastAsiaTheme="minorEastAsia" w:hAnsiTheme="minorEastAsia" w:hint="eastAsia"/>
          <w:color w:val="000000" w:themeColor="text1"/>
        </w:rPr>
        <w:t>杨冬梅女士，工商管理硕士、经济学硕士，副总经理级高级管理人员。曾任广发证券有限责任公司投资理财部职员、发展研究中心市场研究部负责人，南方证券股份有限公司研究所高级研究员，招商基金管理有限公司机构理财部高级经理、股票投资部高级经理，易方达基金管理有限公司宣传策划专员、市场部总经理助理、市场部副总经理。现任易方达基金管理有限公司副总经理级高级管理人员、董事会秘书、宣传策划部总经理、全球投资客户部总经理，易方达资产管理（香港）有限公司董事。</w:t>
      </w:r>
    </w:p>
    <w:p w:rsidR="008F1DC3" w:rsidRPr="00286323" w:rsidRDefault="008F1DC3" w:rsidP="006B7EA8">
      <w:pPr>
        <w:pStyle w:val="af1"/>
        <w:adjustRightInd w:val="0"/>
        <w:spacing w:line="348" w:lineRule="auto"/>
        <w:ind w:firstLine="420"/>
        <w:textAlignment w:val="baseline"/>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2、基金经理</w:t>
      </w:r>
    </w:p>
    <w:p w:rsidR="0000645E" w:rsidRPr="00286323" w:rsidRDefault="0000645E" w:rsidP="0000645E">
      <w:pPr>
        <w:pStyle w:val="af1"/>
        <w:adjustRightInd w:val="0"/>
        <w:spacing w:line="348" w:lineRule="auto"/>
        <w:ind w:firstLine="420"/>
        <w:textAlignment w:val="baseline"/>
        <w:rPr>
          <w:rFonts w:asciiTheme="minorEastAsia" w:eastAsiaTheme="minorEastAsia" w:hAnsiTheme="minorEastAsia" w:cs="宋体"/>
          <w:color w:val="000000" w:themeColor="text1"/>
          <w:kern w:val="0"/>
        </w:rPr>
      </w:pPr>
      <w:r w:rsidRPr="00286323">
        <w:rPr>
          <w:rFonts w:asciiTheme="minorEastAsia" w:eastAsiaTheme="minorEastAsia" w:hAnsiTheme="minorEastAsia" w:cs="宋体" w:hint="eastAsia"/>
          <w:color w:val="000000" w:themeColor="text1"/>
          <w:kern w:val="0"/>
        </w:rPr>
        <w:t>杜才鸣先生，经济学硕士，本基金的基金经理。曾任易方达基金管理有限公司集中交易室交易员、量化研究员、投资经理助理、投资经理。现任易方达基金管理有限公司易方达量化策略精选灵活配置混合型证券投资基金基金经理（自2021年3月20日起任职）、易方达沪深300量化增强证券投资基金基金经理（自2021年3月20日起任职）。</w:t>
      </w:r>
    </w:p>
    <w:p w:rsidR="0000645E" w:rsidRPr="00286323" w:rsidRDefault="0000645E" w:rsidP="0000645E">
      <w:pPr>
        <w:pStyle w:val="af1"/>
        <w:adjustRightInd w:val="0"/>
        <w:spacing w:line="348" w:lineRule="auto"/>
        <w:ind w:firstLine="420"/>
        <w:textAlignment w:val="baseline"/>
        <w:rPr>
          <w:rFonts w:asciiTheme="minorEastAsia" w:eastAsiaTheme="minorEastAsia" w:hAnsiTheme="minorEastAsia" w:cs="宋体"/>
          <w:color w:val="000000" w:themeColor="text1"/>
          <w:kern w:val="0"/>
        </w:rPr>
      </w:pPr>
      <w:r w:rsidRPr="00286323">
        <w:rPr>
          <w:rFonts w:asciiTheme="minorEastAsia" w:eastAsiaTheme="minorEastAsia" w:hAnsiTheme="minorEastAsia" w:cs="宋体" w:hint="eastAsia"/>
          <w:color w:val="000000" w:themeColor="text1"/>
          <w:kern w:val="0"/>
        </w:rPr>
        <w:t>王建军先生，经济学博士，本基金的基金经理。曾任汇添富基金管理有限公司数量分析师，易方达基金管理有限公司量化研究员、基金经理助理、指数与量化投资部总经理助理、指数与量化投资部副总经理、指数及增强投资部副总经理、易方达深证100交易型开放式指数基金基金经理（自2010年9月27日至2016年7月5日）、易方达深证100交易型开放式指数证券投资基金联接基金基金经理（自2010年9月27日至2016年7月5日）、易方达创业板交易型开放式指数证券投资基金基金经理（自2011年9月20日至2016年7月5日）、易方达创业板交易型开放式指数证券投资基金联接基金基金经理（自2011年9月20日至2016年7月5日）、易方达中小板指数分级证券投资基金基金经理（自2012年9月20日至2016年7月5日）、易方达并购重组指数分级证券投资基金基金经理（自2015年6月3日至2016年7月5日）、易方达生物科技指数分级证券投资基金基金经理（自2015年6月3日至2016年7月5日）、易方达银行指数分级证券投资基金基金经理（自2015年6月3日至2016年7月5日）。现任易方达基金管理有限公司量化投资部副总经理、量化投资决策委员会委员、投资经理、易方达沪深300量化增强证券投资基金基金经理（自</w:t>
      </w:r>
      <w:r w:rsidRPr="00286323">
        <w:rPr>
          <w:rFonts w:asciiTheme="minorEastAsia" w:eastAsiaTheme="minorEastAsia" w:hAnsiTheme="minorEastAsia" w:cs="宋体" w:hint="eastAsia"/>
          <w:color w:val="000000" w:themeColor="text1"/>
          <w:kern w:val="0"/>
        </w:rPr>
        <w:lastRenderedPageBreak/>
        <w:t>2021年9月4日起任职）。</w:t>
      </w:r>
    </w:p>
    <w:p w:rsidR="0000645E" w:rsidRPr="00286323" w:rsidRDefault="0000645E" w:rsidP="0000645E">
      <w:pPr>
        <w:pStyle w:val="af1"/>
        <w:adjustRightInd w:val="0"/>
        <w:spacing w:line="348" w:lineRule="auto"/>
        <w:ind w:firstLine="420"/>
        <w:textAlignment w:val="baseline"/>
        <w:rPr>
          <w:rFonts w:asciiTheme="minorEastAsia" w:eastAsiaTheme="minorEastAsia" w:hAnsiTheme="minorEastAsia" w:cs="宋体"/>
          <w:color w:val="000000" w:themeColor="text1"/>
          <w:kern w:val="0"/>
        </w:rPr>
      </w:pPr>
      <w:r w:rsidRPr="00286323">
        <w:rPr>
          <w:rFonts w:asciiTheme="minorEastAsia" w:eastAsiaTheme="minorEastAsia" w:hAnsiTheme="minorEastAsia" w:cs="宋体" w:hint="eastAsia"/>
          <w:color w:val="000000" w:themeColor="text1"/>
          <w:kern w:val="0"/>
        </w:rPr>
        <w:t>本基金历任基金经理情况：刘震，管理时间为2012年7月5日至2013年1月7日；罗山，管理时间为2013年1月8日至2016年10月18日；官泽帆，管理时间为2016年9月24日至2021年9月3日；</w:t>
      </w:r>
      <w:r w:rsidR="00CA6B9D" w:rsidRPr="00286323">
        <w:rPr>
          <w:rFonts w:asciiTheme="minorEastAsia" w:eastAsiaTheme="minorEastAsia" w:hAnsiTheme="minorEastAsia" w:cs="宋体" w:hint="eastAsia"/>
          <w:color w:val="000000" w:themeColor="text1"/>
          <w:kern w:val="0"/>
        </w:rPr>
        <w:t>HUANG JIANSHENG（黄健生）</w:t>
      </w:r>
      <w:r w:rsidRPr="00286323">
        <w:rPr>
          <w:rFonts w:asciiTheme="minorEastAsia" w:eastAsiaTheme="minorEastAsia" w:hAnsiTheme="minorEastAsia" w:cs="宋体" w:hint="eastAsia"/>
          <w:color w:val="000000" w:themeColor="text1"/>
          <w:kern w:val="0"/>
        </w:rPr>
        <w:t>，管理时间为2020年3月12日至2021年9月3日。</w:t>
      </w:r>
    </w:p>
    <w:p w:rsidR="0000645E" w:rsidRPr="00286323" w:rsidRDefault="0000645E" w:rsidP="0000645E">
      <w:pPr>
        <w:pStyle w:val="af1"/>
        <w:adjustRightInd w:val="0"/>
        <w:spacing w:line="348" w:lineRule="auto"/>
        <w:ind w:firstLine="420"/>
        <w:textAlignment w:val="baseline"/>
        <w:rPr>
          <w:rFonts w:asciiTheme="minorEastAsia" w:eastAsiaTheme="minorEastAsia" w:hAnsiTheme="minorEastAsia" w:cs="宋体"/>
          <w:color w:val="000000" w:themeColor="text1"/>
          <w:kern w:val="0"/>
        </w:rPr>
      </w:pPr>
      <w:r w:rsidRPr="00286323">
        <w:rPr>
          <w:rFonts w:asciiTheme="minorEastAsia" w:eastAsiaTheme="minorEastAsia" w:hAnsiTheme="minorEastAsia" w:cs="宋体" w:hint="eastAsia"/>
          <w:color w:val="000000" w:themeColor="text1"/>
          <w:kern w:val="0"/>
        </w:rPr>
        <w:t>3、量化投资决策委员会成员</w:t>
      </w:r>
    </w:p>
    <w:p w:rsidR="0000645E" w:rsidRPr="00286323" w:rsidRDefault="0000645E" w:rsidP="0000645E">
      <w:pPr>
        <w:pStyle w:val="af1"/>
        <w:adjustRightInd w:val="0"/>
        <w:spacing w:line="348" w:lineRule="auto"/>
        <w:ind w:firstLine="420"/>
        <w:textAlignment w:val="baseline"/>
        <w:rPr>
          <w:rFonts w:asciiTheme="minorEastAsia" w:eastAsiaTheme="minorEastAsia" w:hAnsiTheme="minorEastAsia" w:cs="宋体"/>
          <w:color w:val="000000" w:themeColor="text1"/>
          <w:kern w:val="0"/>
        </w:rPr>
      </w:pPr>
      <w:r w:rsidRPr="00286323">
        <w:rPr>
          <w:rFonts w:asciiTheme="minorEastAsia" w:eastAsiaTheme="minorEastAsia" w:hAnsiTheme="minorEastAsia" w:cs="宋体" w:hint="eastAsia"/>
          <w:color w:val="000000" w:themeColor="text1"/>
          <w:kern w:val="0"/>
        </w:rPr>
        <w:t>本公司量化投资决策委员会成员包括：林飞先生、HUANG JIANSHENG（黄健生）先生、王建军先生。</w:t>
      </w:r>
    </w:p>
    <w:p w:rsidR="0000645E" w:rsidRPr="00286323" w:rsidRDefault="0000645E" w:rsidP="0000645E">
      <w:pPr>
        <w:pStyle w:val="af1"/>
        <w:adjustRightInd w:val="0"/>
        <w:spacing w:line="348" w:lineRule="auto"/>
        <w:ind w:firstLine="420"/>
        <w:textAlignment w:val="baseline"/>
        <w:rPr>
          <w:rFonts w:asciiTheme="minorEastAsia" w:eastAsiaTheme="minorEastAsia" w:hAnsiTheme="minorEastAsia" w:cs="宋体"/>
          <w:color w:val="000000" w:themeColor="text1"/>
          <w:kern w:val="0"/>
        </w:rPr>
      </w:pPr>
      <w:r w:rsidRPr="00286323">
        <w:rPr>
          <w:rFonts w:asciiTheme="minorEastAsia" w:eastAsiaTheme="minorEastAsia" w:hAnsiTheme="minorEastAsia" w:cs="宋体" w:hint="eastAsia"/>
          <w:color w:val="000000" w:themeColor="text1"/>
          <w:kern w:val="0"/>
        </w:rPr>
        <w:t>林飞先生，易方达基金管理有限公司基本面指数增强部总经理、投资经理，易方达资产管理（香港）有限公司就证券提供意见负责人员（RO）、提供资产管理负责人员（RO）、证券交易负责人员（RO）。</w:t>
      </w:r>
    </w:p>
    <w:p w:rsidR="0000645E" w:rsidRPr="00286323" w:rsidRDefault="0000645E" w:rsidP="0000645E">
      <w:pPr>
        <w:pStyle w:val="af1"/>
        <w:adjustRightInd w:val="0"/>
        <w:spacing w:line="348" w:lineRule="auto"/>
        <w:ind w:firstLine="420"/>
        <w:textAlignment w:val="baseline"/>
        <w:rPr>
          <w:rFonts w:asciiTheme="minorEastAsia" w:eastAsiaTheme="minorEastAsia" w:hAnsiTheme="minorEastAsia" w:cs="宋体"/>
          <w:color w:val="000000" w:themeColor="text1"/>
          <w:kern w:val="0"/>
        </w:rPr>
      </w:pPr>
      <w:r w:rsidRPr="00286323">
        <w:rPr>
          <w:rFonts w:asciiTheme="minorEastAsia" w:eastAsiaTheme="minorEastAsia" w:hAnsiTheme="minorEastAsia" w:cs="宋体" w:hint="eastAsia"/>
          <w:color w:val="000000" w:themeColor="text1"/>
          <w:kern w:val="0"/>
        </w:rPr>
        <w:t>HUANG JIANSHENG（黄健生）先生，易方达基金管理有限公司量化投资部总经理、基金经理。</w:t>
      </w:r>
    </w:p>
    <w:p w:rsidR="0000645E" w:rsidRPr="00286323" w:rsidRDefault="0000645E" w:rsidP="006B7EA8">
      <w:pPr>
        <w:pStyle w:val="af1"/>
        <w:adjustRightInd w:val="0"/>
        <w:spacing w:line="348" w:lineRule="auto"/>
        <w:ind w:firstLine="420"/>
        <w:textAlignment w:val="baseline"/>
        <w:rPr>
          <w:rFonts w:asciiTheme="minorEastAsia" w:eastAsiaTheme="minorEastAsia" w:hAnsiTheme="minorEastAsia" w:cs="宋体"/>
          <w:color w:val="000000" w:themeColor="text1"/>
          <w:kern w:val="0"/>
        </w:rPr>
      </w:pPr>
      <w:r w:rsidRPr="00286323">
        <w:rPr>
          <w:rFonts w:asciiTheme="minorEastAsia" w:eastAsiaTheme="minorEastAsia" w:hAnsiTheme="minorEastAsia" w:cs="宋体" w:hint="eastAsia"/>
          <w:color w:val="000000" w:themeColor="text1"/>
          <w:kern w:val="0"/>
        </w:rPr>
        <w:t>王建军先生，同上。</w:t>
      </w:r>
    </w:p>
    <w:p w:rsidR="001A7CDB" w:rsidRPr="00286323" w:rsidRDefault="001A7CDB" w:rsidP="006B7EA8">
      <w:pPr>
        <w:pStyle w:val="af1"/>
        <w:adjustRightInd w:val="0"/>
        <w:spacing w:line="348" w:lineRule="auto"/>
        <w:ind w:firstLine="420"/>
        <w:textAlignment w:val="baseline"/>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4、上述人员之间均不存在近亲属关系。</w:t>
      </w:r>
    </w:p>
    <w:p w:rsidR="001A7CDB" w:rsidRPr="00286323" w:rsidRDefault="001A7CDB" w:rsidP="00F71D3B">
      <w:pPr>
        <w:pStyle w:val="20"/>
        <w:numPr>
          <w:ilvl w:val="0"/>
          <w:numId w:val="10"/>
        </w:numPr>
        <w:snapToGrid w:val="0"/>
        <w:spacing w:beforeLines="0" w:afterLines="0" w:line="360" w:lineRule="auto"/>
        <w:ind w:firstLineChars="0"/>
        <w:rPr>
          <w:rFonts w:asciiTheme="minorEastAsia" w:eastAsiaTheme="minorEastAsia" w:hAnsiTheme="minorEastAsia" w:cs="Arial"/>
          <w:b w:val="0"/>
          <w:bCs/>
          <w:color w:val="000000" w:themeColor="text1"/>
        </w:rPr>
      </w:pPr>
      <w:bookmarkStart w:id="10" w:name="_Toc133292565"/>
      <w:bookmarkStart w:id="11" w:name="_Toc163189522"/>
      <w:r w:rsidRPr="00286323">
        <w:rPr>
          <w:rFonts w:asciiTheme="minorEastAsia" w:eastAsiaTheme="minorEastAsia" w:hAnsiTheme="minorEastAsia" w:cs="Arial"/>
          <w:b w:val="0"/>
          <w:bCs/>
          <w:color w:val="000000" w:themeColor="text1"/>
          <w:szCs w:val="21"/>
        </w:rPr>
        <w:t>基金管理人的职责</w:t>
      </w:r>
      <w:bookmarkEnd w:id="10"/>
      <w:bookmarkEnd w:id="11"/>
    </w:p>
    <w:p w:rsidR="001A7CDB" w:rsidRPr="00286323" w:rsidRDefault="001A7CDB" w:rsidP="00F71D3B">
      <w:pPr>
        <w:tabs>
          <w:tab w:val="left" w:pos="426"/>
        </w:tabs>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w:t>
      </w:r>
      <w:r w:rsidR="00A85C4B" w:rsidRPr="00286323">
        <w:rPr>
          <w:rFonts w:asciiTheme="minorEastAsia" w:eastAsiaTheme="minorEastAsia" w:hAnsiTheme="minorEastAsia" w:hint="eastAsia"/>
          <w:color w:val="000000" w:themeColor="text1"/>
        </w:rPr>
        <w:t>依法募集资金，办理基金份额的发售和登记事宜；</w:t>
      </w:r>
    </w:p>
    <w:p w:rsidR="001A7CDB" w:rsidRPr="00286323" w:rsidRDefault="001A7CDB" w:rsidP="00F71D3B">
      <w:pPr>
        <w:tabs>
          <w:tab w:val="left" w:pos="426"/>
        </w:tabs>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2、</w:t>
      </w:r>
      <w:r w:rsidRPr="00286323">
        <w:rPr>
          <w:rFonts w:asciiTheme="minorEastAsia" w:eastAsiaTheme="minorEastAsia" w:hAnsiTheme="minorEastAsia" w:cs="Arial"/>
          <w:color w:val="000000" w:themeColor="text1"/>
        </w:rPr>
        <w:t>办理基金备案手续；</w:t>
      </w:r>
    </w:p>
    <w:p w:rsidR="001A7CDB" w:rsidRPr="00286323" w:rsidRDefault="001A7CDB" w:rsidP="00F71D3B">
      <w:pPr>
        <w:tabs>
          <w:tab w:val="left" w:pos="426"/>
        </w:tabs>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3、</w:t>
      </w:r>
      <w:r w:rsidRPr="00286323">
        <w:rPr>
          <w:rFonts w:asciiTheme="minorEastAsia" w:eastAsiaTheme="minorEastAsia" w:hAnsiTheme="minorEastAsia" w:cs="Arial"/>
          <w:color w:val="000000" w:themeColor="text1"/>
        </w:rPr>
        <w:t>对所管理的不同基金财产分别管理、分别记账，进行证券投资；</w:t>
      </w:r>
    </w:p>
    <w:p w:rsidR="001A7CDB" w:rsidRPr="00286323" w:rsidRDefault="001A7CDB" w:rsidP="00F71D3B">
      <w:pPr>
        <w:tabs>
          <w:tab w:val="left" w:pos="426"/>
        </w:tabs>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4、</w:t>
      </w:r>
      <w:r w:rsidRPr="00286323">
        <w:rPr>
          <w:rFonts w:asciiTheme="minorEastAsia" w:eastAsiaTheme="minorEastAsia" w:hAnsiTheme="minorEastAsia" w:cs="Arial"/>
          <w:color w:val="000000" w:themeColor="text1"/>
        </w:rPr>
        <w:t>按照基金合同的约定确定基金收益分配方案，及时向基金份额持有人分配收益；</w:t>
      </w:r>
    </w:p>
    <w:p w:rsidR="001A7CDB" w:rsidRPr="00286323" w:rsidRDefault="001A7CDB" w:rsidP="00F71D3B">
      <w:pPr>
        <w:tabs>
          <w:tab w:val="left" w:pos="426"/>
        </w:tabs>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5、</w:t>
      </w:r>
      <w:r w:rsidRPr="00286323">
        <w:rPr>
          <w:rFonts w:asciiTheme="minorEastAsia" w:eastAsiaTheme="minorEastAsia" w:hAnsiTheme="minorEastAsia" w:cs="Arial"/>
          <w:color w:val="000000" w:themeColor="text1"/>
        </w:rPr>
        <w:t>进行基金会计核算并编制基金财务会计报告；</w:t>
      </w:r>
    </w:p>
    <w:p w:rsidR="00315BF7" w:rsidRPr="00286323" w:rsidRDefault="00315BF7" w:rsidP="006D6AC5">
      <w:pPr>
        <w:tabs>
          <w:tab w:val="left" w:pos="426"/>
        </w:tabs>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6</w:t>
      </w:r>
      <w:r w:rsidRPr="00286323">
        <w:rPr>
          <w:rFonts w:asciiTheme="minorEastAsia" w:eastAsiaTheme="minorEastAsia" w:hAnsiTheme="minorEastAsia" w:cs="Arial" w:hint="eastAsia"/>
          <w:color w:val="000000" w:themeColor="text1"/>
        </w:rPr>
        <w:t>、编制季度报告、中期报告和年度报告；</w:t>
      </w:r>
    </w:p>
    <w:p w:rsidR="00315BF7" w:rsidRPr="00286323" w:rsidRDefault="00315BF7" w:rsidP="006D6AC5">
      <w:pPr>
        <w:tabs>
          <w:tab w:val="left" w:pos="426"/>
        </w:tabs>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7</w:t>
      </w:r>
      <w:r w:rsidRPr="00286323">
        <w:rPr>
          <w:rFonts w:asciiTheme="minorEastAsia" w:eastAsiaTheme="minorEastAsia" w:hAnsiTheme="minorEastAsia" w:cs="Arial" w:hint="eastAsia"/>
          <w:color w:val="000000" w:themeColor="text1"/>
        </w:rPr>
        <w:t>、计算并公告基金净值信息，确定基金份额申购、赎回价格；</w:t>
      </w:r>
    </w:p>
    <w:p w:rsidR="001A7CDB" w:rsidRPr="00286323" w:rsidRDefault="001A7CDB" w:rsidP="00F71D3B">
      <w:pPr>
        <w:tabs>
          <w:tab w:val="left" w:pos="426"/>
        </w:tabs>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8、</w:t>
      </w:r>
      <w:r w:rsidRPr="00286323">
        <w:rPr>
          <w:rFonts w:asciiTheme="minorEastAsia" w:eastAsiaTheme="minorEastAsia" w:hAnsiTheme="minorEastAsia" w:cs="Arial"/>
          <w:color w:val="000000" w:themeColor="text1"/>
        </w:rPr>
        <w:t>办理与基金财产管理业务活动有关的信息披露事项；</w:t>
      </w:r>
    </w:p>
    <w:p w:rsidR="001A7CDB" w:rsidRPr="00286323" w:rsidRDefault="001A7CDB" w:rsidP="00F71D3B">
      <w:pPr>
        <w:tabs>
          <w:tab w:val="left" w:pos="426"/>
        </w:tabs>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9、</w:t>
      </w:r>
      <w:r w:rsidR="00A85C4B" w:rsidRPr="00286323">
        <w:rPr>
          <w:rFonts w:asciiTheme="minorEastAsia" w:eastAsiaTheme="minorEastAsia" w:hAnsiTheme="minorEastAsia" w:hint="eastAsia"/>
          <w:color w:val="000000" w:themeColor="text1"/>
        </w:rPr>
        <w:t>按照规定</w:t>
      </w:r>
      <w:r w:rsidRPr="00286323">
        <w:rPr>
          <w:rFonts w:asciiTheme="minorEastAsia" w:eastAsiaTheme="minorEastAsia" w:hAnsiTheme="minorEastAsia" w:cs="Arial"/>
          <w:color w:val="000000" w:themeColor="text1"/>
        </w:rPr>
        <w:t>召集基金份额持有人大会；</w:t>
      </w:r>
    </w:p>
    <w:p w:rsidR="001A7CDB" w:rsidRPr="00286323" w:rsidRDefault="001A7CDB" w:rsidP="00F71D3B">
      <w:pPr>
        <w:tabs>
          <w:tab w:val="left" w:pos="426"/>
        </w:tabs>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10、</w:t>
      </w:r>
      <w:r w:rsidRPr="00286323">
        <w:rPr>
          <w:rFonts w:asciiTheme="minorEastAsia" w:eastAsiaTheme="minorEastAsia" w:hAnsiTheme="minorEastAsia" w:cs="Arial"/>
          <w:color w:val="000000" w:themeColor="text1"/>
        </w:rPr>
        <w:t>保存基金财产管理业务活动的记录、账册、报表和其他相关资料；</w:t>
      </w:r>
    </w:p>
    <w:p w:rsidR="001A7CDB" w:rsidRPr="00286323" w:rsidRDefault="001A7CDB" w:rsidP="00F71D3B">
      <w:pPr>
        <w:tabs>
          <w:tab w:val="left" w:pos="426"/>
        </w:tabs>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11、</w:t>
      </w:r>
      <w:r w:rsidRPr="00286323">
        <w:rPr>
          <w:rFonts w:asciiTheme="minorEastAsia" w:eastAsiaTheme="minorEastAsia" w:hAnsiTheme="minorEastAsia" w:cs="Arial"/>
          <w:color w:val="000000" w:themeColor="text1"/>
        </w:rPr>
        <w:t>以基金管理人名义，代表基金份额持有人利益行使诉讼权利或者实施其他法律行为；</w:t>
      </w:r>
    </w:p>
    <w:p w:rsidR="001A7CDB" w:rsidRPr="00286323" w:rsidRDefault="001A7CDB" w:rsidP="00F71D3B">
      <w:pPr>
        <w:tabs>
          <w:tab w:val="left" w:pos="426"/>
        </w:tabs>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12、</w:t>
      </w:r>
      <w:r w:rsidRPr="00286323">
        <w:rPr>
          <w:rFonts w:asciiTheme="minorEastAsia" w:eastAsiaTheme="minorEastAsia" w:hAnsiTheme="minorEastAsia" w:cs="Arial"/>
          <w:color w:val="000000" w:themeColor="text1"/>
        </w:rPr>
        <w:t>中国证监会规定的其他职责。</w:t>
      </w:r>
    </w:p>
    <w:p w:rsidR="001A7CDB" w:rsidRPr="00286323" w:rsidRDefault="001A7CDB" w:rsidP="00F71D3B">
      <w:pPr>
        <w:pStyle w:val="20"/>
        <w:numPr>
          <w:ilvl w:val="0"/>
          <w:numId w:val="10"/>
        </w:numPr>
        <w:snapToGrid w:val="0"/>
        <w:spacing w:beforeLines="0" w:afterLines="0" w:line="360" w:lineRule="auto"/>
        <w:ind w:firstLineChars="0"/>
        <w:rPr>
          <w:rFonts w:asciiTheme="minorEastAsia" w:eastAsiaTheme="minorEastAsia" w:hAnsiTheme="minorEastAsia" w:cs="Arial"/>
          <w:b w:val="0"/>
          <w:bCs/>
          <w:color w:val="000000" w:themeColor="text1"/>
          <w:szCs w:val="21"/>
        </w:rPr>
      </w:pPr>
      <w:bookmarkStart w:id="12" w:name="_Toc133292566"/>
      <w:bookmarkStart w:id="13" w:name="_Toc163189523"/>
      <w:r w:rsidRPr="00286323">
        <w:rPr>
          <w:rFonts w:asciiTheme="minorEastAsia" w:eastAsiaTheme="minorEastAsia" w:hAnsiTheme="minorEastAsia" w:cs="Arial"/>
          <w:b w:val="0"/>
          <w:bCs/>
          <w:color w:val="000000" w:themeColor="text1"/>
          <w:szCs w:val="21"/>
        </w:rPr>
        <w:lastRenderedPageBreak/>
        <w:t>基金管理人的承诺</w:t>
      </w:r>
      <w:bookmarkEnd w:id="12"/>
      <w:bookmarkEnd w:id="13"/>
    </w:p>
    <w:p w:rsidR="001A7CDB" w:rsidRPr="00286323" w:rsidRDefault="001A7CDB" w:rsidP="00F71D3B">
      <w:pPr>
        <w:autoSpaceDE w:val="0"/>
        <w:autoSpaceDN w:val="0"/>
        <w:adjustRightInd w:val="0"/>
        <w:snapToGrid w:val="0"/>
        <w:spacing w:line="360" w:lineRule="auto"/>
        <w:ind w:firstLineChars="200" w:firstLine="420"/>
        <w:jc w:val="left"/>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w:t>
      </w:r>
      <w:r w:rsidRPr="00286323">
        <w:rPr>
          <w:rFonts w:asciiTheme="minorEastAsia" w:eastAsiaTheme="minorEastAsia" w:hAnsiTheme="minorEastAsia" w:cs="Arial"/>
          <w:color w:val="000000" w:themeColor="text1"/>
        </w:rPr>
        <w:t>本基金管理人承诺严格遵守现行有效的相关法律</w:t>
      </w:r>
      <w:r w:rsidR="00AC7E12" w:rsidRPr="00286323">
        <w:rPr>
          <w:rFonts w:asciiTheme="minorEastAsia" w:eastAsiaTheme="minorEastAsia" w:hAnsiTheme="minorEastAsia" w:cs="Arial" w:hint="eastAsia"/>
          <w:color w:val="000000" w:themeColor="text1"/>
        </w:rPr>
        <w:t>、</w:t>
      </w:r>
      <w:r w:rsidRPr="00286323">
        <w:rPr>
          <w:rFonts w:asciiTheme="minorEastAsia" w:eastAsiaTheme="minorEastAsia" w:hAnsiTheme="minorEastAsia" w:cs="Arial"/>
          <w:color w:val="000000" w:themeColor="text1"/>
        </w:rPr>
        <w:t>法规、</w:t>
      </w:r>
      <w:r w:rsidR="00AC7E12" w:rsidRPr="00286323">
        <w:rPr>
          <w:rFonts w:asciiTheme="minorEastAsia" w:eastAsiaTheme="minorEastAsia" w:hAnsiTheme="minorEastAsia" w:cs="Arial" w:hint="eastAsia"/>
          <w:color w:val="000000" w:themeColor="text1"/>
        </w:rPr>
        <w:t>规章、</w:t>
      </w:r>
      <w:r w:rsidRPr="00286323">
        <w:rPr>
          <w:rFonts w:asciiTheme="minorEastAsia" w:eastAsiaTheme="minorEastAsia" w:hAnsiTheme="minorEastAsia" w:cs="Arial"/>
          <w:color w:val="000000" w:themeColor="text1"/>
        </w:rPr>
        <w:t>基金合同和中国证监会的有关规定，建立健全内部控制制度，采取有效措施，防止违反现行有效的有关法律法规、基金合同和中国证监会有关规定的行为发生。</w:t>
      </w:r>
    </w:p>
    <w:p w:rsidR="001A7CDB" w:rsidRPr="00286323" w:rsidRDefault="001A7CDB" w:rsidP="00F71D3B">
      <w:pPr>
        <w:autoSpaceDE w:val="0"/>
        <w:autoSpaceDN w:val="0"/>
        <w:adjustRightInd w:val="0"/>
        <w:snapToGrid w:val="0"/>
        <w:spacing w:line="360" w:lineRule="auto"/>
        <w:ind w:firstLineChars="200" w:firstLine="420"/>
        <w:jc w:val="left"/>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2、</w:t>
      </w:r>
      <w:r w:rsidRPr="00286323">
        <w:rPr>
          <w:rFonts w:asciiTheme="minorEastAsia" w:eastAsiaTheme="minorEastAsia" w:hAnsiTheme="minorEastAsia" w:cs="Arial"/>
          <w:color w:val="000000" w:themeColor="text1"/>
        </w:rPr>
        <w:t>本基金管理人承诺严格遵守《证券法》、《基金法》及有关法律法规，建立健全内部控制制度，采取有效措施，防止下列行为发生：</w:t>
      </w:r>
    </w:p>
    <w:p w:rsidR="001A7CDB" w:rsidRPr="00286323" w:rsidRDefault="001A7CDB" w:rsidP="00F71D3B">
      <w:pPr>
        <w:tabs>
          <w:tab w:val="left" w:pos="735"/>
          <w:tab w:val="num" w:pos="1320"/>
        </w:tabs>
        <w:snapToGrid w:val="0"/>
        <w:spacing w:line="360" w:lineRule="auto"/>
        <w:ind w:left="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w:t>
      </w:r>
      <w:r w:rsidRPr="00286323">
        <w:rPr>
          <w:rFonts w:asciiTheme="minorEastAsia" w:eastAsiaTheme="minorEastAsia" w:hAnsiTheme="minorEastAsia" w:cs="Arial"/>
          <w:color w:val="000000" w:themeColor="text1"/>
        </w:rPr>
        <w:t>将其固有财产或者他人财产混同于基金财产从事证券投资；</w:t>
      </w:r>
    </w:p>
    <w:p w:rsidR="001A7CDB" w:rsidRPr="00286323" w:rsidRDefault="001A7CDB" w:rsidP="00F71D3B">
      <w:pPr>
        <w:tabs>
          <w:tab w:val="left" w:pos="735"/>
          <w:tab w:val="num" w:pos="1320"/>
        </w:tabs>
        <w:snapToGrid w:val="0"/>
        <w:spacing w:line="360" w:lineRule="auto"/>
        <w:ind w:left="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（2）</w:t>
      </w:r>
      <w:r w:rsidRPr="00286323">
        <w:rPr>
          <w:rFonts w:asciiTheme="minorEastAsia" w:eastAsiaTheme="minorEastAsia" w:hAnsiTheme="minorEastAsia" w:cs="Arial"/>
          <w:color w:val="000000" w:themeColor="text1"/>
        </w:rPr>
        <w:t>不公平地对待其管理的不同基金财产；</w:t>
      </w:r>
    </w:p>
    <w:p w:rsidR="001A7CDB" w:rsidRPr="00286323" w:rsidRDefault="001A7CDB" w:rsidP="00F71D3B">
      <w:pPr>
        <w:tabs>
          <w:tab w:val="left" w:pos="735"/>
          <w:tab w:val="num" w:pos="1320"/>
        </w:tabs>
        <w:snapToGrid w:val="0"/>
        <w:spacing w:line="360" w:lineRule="auto"/>
        <w:ind w:left="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（3）</w:t>
      </w:r>
      <w:r w:rsidRPr="00286323">
        <w:rPr>
          <w:rFonts w:asciiTheme="minorEastAsia" w:eastAsiaTheme="minorEastAsia" w:hAnsiTheme="minorEastAsia" w:cs="Arial"/>
          <w:color w:val="000000" w:themeColor="text1"/>
        </w:rPr>
        <w:t>利用基金财产</w:t>
      </w:r>
      <w:r w:rsidR="00A85C4B" w:rsidRPr="00286323">
        <w:rPr>
          <w:rStyle w:val="da"/>
          <w:rFonts w:asciiTheme="minorEastAsia" w:eastAsiaTheme="minorEastAsia" w:hAnsiTheme="minorEastAsia" w:hint="eastAsia"/>
          <w:color w:val="000000" w:themeColor="text1"/>
        </w:rPr>
        <w:t>或者职务之便</w:t>
      </w:r>
      <w:r w:rsidRPr="00286323">
        <w:rPr>
          <w:rFonts w:asciiTheme="minorEastAsia" w:eastAsiaTheme="minorEastAsia" w:hAnsiTheme="minorEastAsia" w:cs="Arial"/>
          <w:color w:val="000000" w:themeColor="text1"/>
        </w:rPr>
        <w:t>为基金份额持有人以外的第三人谋取利益；</w:t>
      </w:r>
    </w:p>
    <w:p w:rsidR="001A7CDB" w:rsidRPr="00286323" w:rsidRDefault="001A7CDB" w:rsidP="00F71D3B">
      <w:pPr>
        <w:tabs>
          <w:tab w:val="left" w:pos="735"/>
          <w:tab w:val="num" w:pos="1320"/>
        </w:tabs>
        <w:snapToGrid w:val="0"/>
        <w:spacing w:line="360" w:lineRule="auto"/>
        <w:ind w:left="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（4）</w:t>
      </w:r>
      <w:r w:rsidRPr="00286323">
        <w:rPr>
          <w:rFonts w:asciiTheme="minorEastAsia" w:eastAsiaTheme="minorEastAsia" w:hAnsiTheme="minorEastAsia" w:cs="Arial"/>
          <w:color w:val="000000" w:themeColor="text1"/>
        </w:rPr>
        <w:t>向基金份额持有人违规承诺收益或者承担损失；</w:t>
      </w:r>
    </w:p>
    <w:p w:rsidR="00A85C4B" w:rsidRPr="00286323" w:rsidRDefault="001A7CDB" w:rsidP="00F71D3B">
      <w:pPr>
        <w:tabs>
          <w:tab w:val="left" w:pos="735"/>
          <w:tab w:val="num" w:pos="1320"/>
        </w:tabs>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（5）</w:t>
      </w:r>
      <w:r w:rsidR="00A85C4B" w:rsidRPr="00286323">
        <w:rPr>
          <w:rFonts w:asciiTheme="minorEastAsia" w:eastAsiaTheme="minorEastAsia" w:hAnsiTheme="minorEastAsia" w:cs="Arial" w:hint="eastAsia"/>
          <w:color w:val="000000" w:themeColor="text1"/>
        </w:rPr>
        <w:t>侵占、挪用基金财产；</w:t>
      </w:r>
    </w:p>
    <w:p w:rsidR="00A85C4B" w:rsidRPr="00286323" w:rsidRDefault="00A85C4B" w:rsidP="00F71D3B">
      <w:pPr>
        <w:tabs>
          <w:tab w:val="left" w:pos="735"/>
          <w:tab w:val="num" w:pos="1320"/>
        </w:tabs>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（6）泄露因职务便利获取的未公开信息、利用该信息从事或者明示、暗示他人从事相关的交易活动；</w:t>
      </w:r>
    </w:p>
    <w:p w:rsidR="00A85C4B" w:rsidRPr="00286323" w:rsidRDefault="00A85C4B" w:rsidP="00F71D3B">
      <w:pPr>
        <w:tabs>
          <w:tab w:val="left" w:pos="735"/>
          <w:tab w:val="num" w:pos="1320"/>
        </w:tabs>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（7）玩忽职守，不按照规定履行职责；</w:t>
      </w:r>
    </w:p>
    <w:p w:rsidR="001A7CDB" w:rsidRPr="00286323" w:rsidRDefault="00A85C4B" w:rsidP="00F71D3B">
      <w:pPr>
        <w:tabs>
          <w:tab w:val="left" w:pos="735"/>
          <w:tab w:val="num" w:pos="1320"/>
        </w:tabs>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（8）法律、行政法规和中国证监会规定禁止的其他行为。</w:t>
      </w:r>
    </w:p>
    <w:p w:rsidR="001A7CDB" w:rsidRPr="00286323" w:rsidRDefault="001A7CDB" w:rsidP="00F71D3B">
      <w:pPr>
        <w:autoSpaceDE w:val="0"/>
        <w:autoSpaceDN w:val="0"/>
        <w:adjustRightInd w:val="0"/>
        <w:snapToGrid w:val="0"/>
        <w:spacing w:line="360" w:lineRule="auto"/>
        <w:ind w:firstLineChars="200" w:firstLine="420"/>
        <w:jc w:val="left"/>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3、</w:t>
      </w:r>
      <w:r w:rsidRPr="00286323">
        <w:rPr>
          <w:rFonts w:asciiTheme="minorEastAsia" w:eastAsiaTheme="minorEastAsia" w:hAnsiTheme="minorEastAsia" w:cs="Arial"/>
          <w:color w:val="000000" w:themeColor="text1"/>
        </w:rPr>
        <w:t>本基金管理人承诺加强人员管理，强化职业操守，督促和约束员工遵守国家有关法律法规及行业规范，诚实信用、勤勉尽责，不从事以下活动：</w:t>
      </w:r>
    </w:p>
    <w:p w:rsidR="001A7CDB" w:rsidRPr="00286323" w:rsidRDefault="001A7CDB" w:rsidP="00F71D3B">
      <w:pPr>
        <w:autoSpaceDE w:val="0"/>
        <w:autoSpaceDN w:val="0"/>
        <w:adjustRightInd w:val="0"/>
        <w:snapToGrid w:val="0"/>
        <w:spacing w:line="360" w:lineRule="auto"/>
        <w:ind w:firstLine="426"/>
        <w:jc w:val="left"/>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（1）越权或违规经营；</w:t>
      </w:r>
    </w:p>
    <w:p w:rsidR="001A7CDB" w:rsidRPr="00286323" w:rsidRDefault="001A7CDB" w:rsidP="00F71D3B">
      <w:pPr>
        <w:autoSpaceDE w:val="0"/>
        <w:autoSpaceDN w:val="0"/>
        <w:adjustRightInd w:val="0"/>
        <w:snapToGrid w:val="0"/>
        <w:spacing w:line="360" w:lineRule="auto"/>
        <w:ind w:firstLine="426"/>
        <w:jc w:val="left"/>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（2）违反基金合同或托管协议；</w:t>
      </w:r>
    </w:p>
    <w:p w:rsidR="001A7CDB" w:rsidRPr="00286323" w:rsidRDefault="001A7CDB" w:rsidP="00F71D3B">
      <w:pPr>
        <w:autoSpaceDE w:val="0"/>
        <w:autoSpaceDN w:val="0"/>
        <w:adjustRightInd w:val="0"/>
        <w:snapToGrid w:val="0"/>
        <w:spacing w:line="360" w:lineRule="auto"/>
        <w:ind w:firstLine="426"/>
        <w:jc w:val="left"/>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（3）故意损害基金份额持有人或其他基金相关机构的合法利益；</w:t>
      </w:r>
    </w:p>
    <w:p w:rsidR="001A7CDB" w:rsidRPr="00286323" w:rsidRDefault="001A7CDB" w:rsidP="00F71D3B">
      <w:pPr>
        <w:autoSpaceDE w:val="0"/>
        <w:autoSpaceDN w:val="0"/>
        <w:adjustRightInd w:val="0"/>
        <w:snapToGrid w:val="0"/>
        <w:spacing w:line="360" w:lineRule="auto"/>
        <w:ind w:firstLine="426"/>
        <w:jc w:val="left"/>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（4）在向中国证监会报送的资料中弄虚作假；</w:t>
      </w:r>
    </w:p>
    <w:p w:rsidR="001A7CDB" w:rsidRPr="00286323" w:rsidRDefault="001A7CDB" w:rsidP="00F71D3B">
      <w:pPr>
        <w:autoSpaceDE w:val="0"/>
        <w:autoSpaceDN w:val="0"/>
        <w:adjustRightInd w:val="0"/>
        <w:snapToGrid w:val="0"/>
        <w:spacing w:line="360" w:lineRule="auto"/>
        <w:ind w:firstLine="426"/>
        <w:jc w:val="left"/>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（5）拒绝、干扰、阻挠或严重影响中国证监会依法监管；</w:t>
      </w:r>
    </w:p>
    <w:p w:rsidR="001A7CDB" w:rsidRPr="00286323" w:rsidRDefault="001A7CDB" w:rsidP="00F71D3B">
      <w:pPr>
        <w:autoSpaceDE w:val="0"/>
        <w:autoSpaceDN w:val="0"/>
        <w:adjustRightInd w:val="0"/>
        <w:snapToGrid w:val="0"/>
        <w:spacing w:line="360" w:lineRule="auto"/>
        <w:ind w:firstLine="426"/>
        <w:jc w:val="left"/>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（6）玩忽职守、滥用职权；</w:t>
      </w:r>
    </w:p>
    <w:p w:rsidR="001A7CDB" w:rsidRPr="00286323" w:rsidRDefault="001A7CDB" w:rsidP="00F71D3B">
      <w:pPr>
        <w:tabs>
          <w:tab w:val="left" w:pos="851"/>
        </w:tabs>
        <w:autoSpaceDE w:val="0"/>
        <w:autoSpaceDN w:val="0"/>
        <w:adjustRightInd w:val="0"/>
        <w:snapToGrid w:val="0"/>
        <w:spacing w:line="360" w:lineRule="auto"/>
        <w:ind w:firstLine="426"/>
        <w:jc w:val="left"/>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（7）违反现行有效的有关法律</w:t>
      </w:r>
      <w:r w:rsidR="00AC7E12" w:rsidRPr="00286323">
        <w:rPr>
          <w:rFonts w:asciiTheme="minorEastAsia" w:eastAsiaTheme="minorEastAsia" w:hAnsiTheme="minorEastAsia" w:cs="Arial" w:hint="eastAsia"/>
          <w:color w:val="000000" w:themeColor="text1"/>
        </w:rPr>
        <w:t>、</w:t>
      </w:r>
      <w:r w:rsidRPr="00286323">
        <w:rPr>
          <w:rFonts w:asciiTheme="minorEastAsia" w:eastAsiaTheme="minorEastAsia" w:hAnsiTheme="minorEastAsia" w:cs="Arial"/>
          <w:color w:val="000000" w:themeColor="text1"/>
        </w:rPr>
        <w:t>法规、</w:t>
      </w:r>
      <w:r w:rsidR="00AC7E12" w:rsidRPr="00286323">
        <w:rPr>
          <w:rFonts w:asciiTheme="minorEastAsia" w:eastAsiaTheme="minorEastAsia" w:hAnsiTheme="minorEastAsia" w:cs="Arial" w:hint="eastAsia"/>
          <w:color w:val="000000" w:themeColor="text1"/>
        </w:rPr>
        <w:t>规章、</w:t>
      </w:r>
      <w:r w:rsidRPr="00286323">
        <w:rPr>
          <w:rFonts w:asciiTheme="minorEastAsia" w:eastAsiaTheme="minorEastAsia" w:hAnsiTheme="minorEastAsia" w:cs="Arial"/>
          <w:color w:val="000000" w:themeColor="text1"/>
        </w:rPr>
        <w:t>基金合同和中国证监会的有关规定，泄漏在任职期间知悉的有关证券、基金的商业秘密，尚未依法公开的基金投资内容、基金投资计划等信息；</w:t>
      </w:r>
    </w:p>
    <w:p w:rsidR="001A7CDB" w:rsidRPr="00286323" w:rsidRDefault="001A7CDB" w:rsidP="00F71D3B">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（8）违反证券交易场所业务规则，利用对敲、倒仓等手段操纵市场价格，扰乱市场秩序；</w:t>
      </w:r>
    </w:p>
    <w:p w:rsidR="001A7CDB" w:rsidRPr="00286323" w:rsidRDefault="001A7CDB" w:rsidP="00F71D3B">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（9）贬损同行，以抬高自己；</w:t>
      </w:r>
    </w:p>
    <w:p w:rsidR="001A7CDB" w:rsidRPr="00286323" w:rsidRDefault="001A7CDB" w:rsidP="00F71D3B">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（10）以不正当手段谋求业务发展；</w:t>
      </w:r>
    </w:p>
    <w:p w:rsidR="001A7CDB" w:rsidRPr="00286323" w:rsidRDefault="001A7CDB" w:rsidP="00F71D3B">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（11）有悖社会公德，损害证券投资基金人员形象；</w:t>
      </w:r>
    </w:p>
    <w:p w:rsidR="001A7CDB" w:rsidRPr="00286323" w:rsidRDefault="001A7CDB" w:rsidP="00F71D3B">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（12）在公开信息披露和广告中故意含有虚假、误导、欺诈成分；</w:t>
      </w:r>
    </w:p>
    <w:p w:rsidR="001A7CDB" w:rsidRPr="00286323" w:rsidRDefault="001A7CDB" w:rsidP="00F71D3B">
      <w:pPr>
        <w:tabs>
          <w:tab w:val="left" w:pos="851"/>
        </w:tabs>
        <w:autoSpaceDE w:val="0"/>
        <w:autoSpaceDN w:val="0"/>
        <w:adjustRightInd w:val="0"/>
        <w:snapToGrid w:val="0"/>
        <w:spacing w:line="360" w:lineRule="auto"/>
        <w:ind w:firstLineChars="202" w:firstLine="424"/>
        <w:jc w:val="left"/>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lastRenderedPageBreak/>
        <w:t>（13）其他法律、行政法规以及中国证监会禁止的行为。</w:t>
      </w:r>
    </w:p>
    <w:p w:rsidR="001A7CDB" w:rsidRPr="00286323" w:rsidRDefault="001A7CDB" w:rsidP="00F71D3B">
      <w:pPr>
        <w:autoSpaceDE w:val="0"/>
        <w:autoSpaceDN w:val="0"/>
        <w:adjustRightInd w:val="0"/>
        <w:snapToGrid w:val="0"/>
        <w:spacing w:line="360" w:lineRule="auto"/>
        <w:ind w:firstLineChars="200" w:firstLine="420"/>
        <w:jc w:val="left"/>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4、</w:t>
      </w:r>
      <w:r w:rsidRPr="00286323">
        <w:rPr>
          <w:rFonts w:asciiTheme="minorEastAsia" w:eastAsiaTheme="minorEastAsia" w:hAnsiTheme="minorEastAsia" w:cs="Arial"/>
          <w:color w:val="000000" w:themeColor="text1"/>
        </w:rPr>
        <w:t>基金经理承诺</w:t>
      </w:r>
    </w:p>
    <w:p w:rsidR="001A7CDB" w:rsidRPr="00286323" w:rsidRDefault="001A7CDB" w:rsidP="00F71D3B">
      <w:pPr>
        <w:autoSpaceDE w:val="0"/>
        <w:autoSpaceDN w:val="0"/>
        <w:adjustRightInd w:val="0"/>
        <w:snapToGrid w:val="0"/>
        <w:spacing w:line="360" w:lineRule="auto"/>
        <w:ind w:firstLineChars="200" w:firstLine="420"/>
        <w:jc w:val="left"/>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（1）依照有关法律法规和基金合同的规定，本着谨慎的原则为基金份额持有人谋取最大利益；</w:t>
      </w:r>
    </w:p>
    <w:p w:rsidR="001A7CDB" w:rsidRPr="00286323" w:rsidRDefault="001A7CDB" w:rsidP="00F71D3B">
      <w:pPr>
        <w:autoSpaceDE w:val="0"/>
        <w:autoSpaceDN w:val="0"/>
        <w:adjustRightInd w:val="0"/>
        <w:snapToGrid w:val="0"/>
        <w:spacing w:line="360" w:lineRule="auto"/>
        <w:ind w:firstLineChars="200" w:firstLine="420"/>
        <w:jc w:val="left"/>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（2）不利用职务之便为自己及其代理人、受雇人或任何第三人谋取利益；</w:t>
      </w:r>
    </w:p>
    <w:p w:rsidR="001A7CDB" w:rsidRPr="00286323" w:rsidRDefault="001A7CDB" w:rsidP="00F71D3B">
      <w:pPr>
        <w:autoSpaceDE w:val="0"/>
        <w:autoSpaceDN w:val="0"/>
        <w:adjustRightInd w:val="0"/>
        <w:snapToGrid w:val="0"/>
        <w:spacing w:line="360" w:lineRule="auto"/>
        <w:ind w:firstLineChars="200" w:firstLine="420"/>
        <w:jc w:val="left"/>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（3）不违反现行有效的有关法律</w:t>
      </w:r>
      <w:r w:rsidR="00AC7E12" w:rsidRPr="00286323">
        <w:rPr>
          <w:rFonts w:asciiTheme="minorEastAsia" w:eastAsiaTheme="minorEastAsia" w:hAnsiTheme="minorEastAsia" w:cs="Arial" w:hint="eastAsia"/>
          <w:color w:val="000000" w:themeColor="text1"/>
        </w:rPr>
        <w:t>、</w:t>
      </w:r>
      <w:r w:rsidRPr="00286323">
        <w:rPr>
          <w:rFonts w:asciiTheme="minorEastAsia" w:eastAsiaTheme="minorEastAsia" w:hAnsiTheme="minorEastAsia" w:cs="Arial"/>
          <w:color w:val="000000" w:themeColor="text1"/>
        </w:rPr>
        <w:t>法规、</w:t>
      </w:r>
      <w:r w:rsidR="00AC7E12" w:rsidRPr="00286323">
        <w:rPr>
          <w:rFonts w:asciiTheme="minorEastAsia" w:eastAsiaTheme="minorEastAsia" w:hAnsiTheme="minorEastAsia" w:cs="Arial" w:hint="eastAsia"/>
          <w:color w:val="000000" w:themeColor="text1"/>
        </w:rPr>
        <w:t>规章、</w:t>
      </w:r>
      <w:r w:rsidRPr="00286323">
        <w:rPr>
          <w:rFonts w:asciiTheme="minorEastAsia" w:eastAsiaTheme="minorEastAsia" w:hAnsiTheme="minorEastAsia" w:cs="Arial"/>
          <w:color w:val="000000" w:themeColor="text1"/>
        </w:rPr>
        <w:t>基金合同和中国证监会的有关规定，泄漏在任职期间知悉的有关证券、基金的商业秘密、尚未依法公开的基金投资内容、基金投资计划等信息；</w:t>
      </w:r>
    </w:p>
    <w:p w:rsidR="001A7CDB" w:rsidRPr="00286323" w:rsidRDefault="001A7CDB" w:rsidP="00F71D3B">
      <w:pPr>
        <w:autoSpaceDE w:val="0"/>
        <w:autoSpaceDN w:val="0"/>
        <w:adjustRightInd w:val="0"/>
        <w:snapToGrid w:val="0"/>
        <w:spacing w:line="360" w:lineRule="auto"/>
        <w:ind w:firstLineChars="200" w:firstLine="420"/>
        <w:jc w:val="left"/>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（4）不从事损害基金财产和基金份额持有人利益的证券交易及其他活动。</w:t>
      </w:r>
    </w:p>
    <w:p w:rsidR="001A7CDB" w:rsidRPr="00286323" w:rsidRDefault="001A7CDB" w:rsidP="00F71D3B">
      <w:pPr>
        <w:pStyle w:val="20"/>
        <w:numPr>
          <w:ilvl w:val="0"/>
          <w:numId w:val="10"/>
        </w:numPr>
        <w:snapToGrid w:val="0"/>
        <w:spacing w:beforeLines="0" w:afterLines="0" w:line="360" w:lineRule="auto"/>
        <w:ind w:firstLineChars="0"/>
        <w:rPr>
          <w:rFonts w:asciiTheme="minorEastAsia" w:eastAsiaTheme="minorEastAsia" w:hAnsiTheme="minorEastAsia"/>
          <w:b w:val="0"/>
          <w:bCs/>
          <w:color w:val="000000" w:themeColor="text1"/>
          <w:szCs w:val="21"/>
        </w:rPr>
      </w:pPr>
      <w:bookmarkStart w:id="14" w:name="_Toc133292567"/>
      <w:bookmarkStart w:id="15" w:name="_Toc163189524"/>
      <w:r w:rsidRPr="00286323">
        <w:rPr>
          <w:rFonts w:asciiTheme="minorEastAsia" w:eastAsiaTheme="minorEastAsia" w:hAnsiTheme="minorEastAsia" w:cs="Arial"/>
          <w:b w:val="0"/>
          <w:bCs/>
          <w:color w:val="000000" w:themeColor="text1"/>
          <w:szCs w:val="21"/>
        </w:rPr>
        <w:t>基金管理人的内部控制制度</w:t>
      </w:r>
      <w:bookmarkEnd w:id="14"/>
      <w:bookmarkEnd w:id="15"/>
    </w:p>
    <w:p w:rsidR="001A7CDB" w:rsidRPr="00286323" w:rsidRDefault="001A7CDB" w:rsidP="00F71D3B">
      <w:pPr>
        <w:pStyle w:val="af"/>
        <w:autoSpaceDE w:val="0"/>
        <w:autoSpaceDN w:val="0"/>
        <w:adjustRightInd w:val="0"/>
        <w:snapToGrid w:val="0"/>
        <w:spacing w:line="360" w:lineRule="auto"/>
        <w:ind w:firstLineChars="200"/>
        <w:rPr>
          <w:rFonts w:asciiTheme="minorEastAsia" w:eastAsiaTheme="minorEastAsia" w:hAnsiTheme="minorEastAsia" w:cs="Arial"/>
          <w:color w:val="000000" w:themeColor="text1"/>
          <w:szCs w:val="21"/>
        </w:rPr>
      </w:pPr>
      <w:r w:rsidRPr="00286323">
        <w:rPr>
          <w:rFonts w:asciiTheme="minorEastAsia" w:eastAsiaTheme="minorEastAsia" w:hAnsiTheme="minorEastAsia" w:cs="Arial"/>
          <w:color w:val="000000" w:themeColor="text1"/>
          <w:szCs w:val="21"/>
        </w:rPr>
        <w:t>为保证公司规范化运作，有效地防范和化解经营风险，促进公司诚信、合法、有效经营，保障基金份额持有人利益，维护公司及公司股东的合法权益，本基金管理人建立了科学、严密、高效的内部控制体系。</w:t>
      </w:r>
    </w:p>
    <w:p w:rsidR="001A7CDB" w:rsidRPr="00286323" w:rsidRDefault="001A7CDB" w:rsidP="00F71D3B">
      <w:pPr>
        <w:tabs>
          <w:tab w:val="left" w:pos="567"/>
        </w:tabs>
        <w:snapToGrid w:val="0"/>
        <w:spacing w:line="360" w:lineRule="auto"/>
        <w:ind w:firstLineChars="200" w:firstLine="420"/>
        <w:rPr>
          <w:rFonts w:asciiTheme="minorEastAsia" w:eastAsiaTheme="minorEastAsia" w:hAnsiTheme="minorEastAsia" w:cs="Arial"/>
          <w:bCs/>
          <w:color w:val="000000" w:themeColor="text1"/>
        </w:rPr>
      </w:pPr>
      <w:r w:rsidRPr="00286323">
        <w:rPr>
          <w:rFonts w:asciiTheme="minorEastAsia" w:eastAsiaTheme="minorEastAsia" w:hAnsiTheme="minorEastAsia" w:cs="Arial" w:hint="eastAsia"/>
          <w:bCs/>
          <w:color w:val="000000" w:themeColor="text1"/>
        </w:rPr>
        <w:t>1、</w:t>
      </w:r>
      <w:r w:rsidRPr="00286323">
        <w:rPr>
          <w:rFonts w:asciiTheme="minorEastAsia" w:eastAsiaTheme="minorEastAsia" w:hAnsiTheme="minorEastAsia" w:cs="Arial"/>
          <w:bCs/>
          <w:color w:val="000000" w:themeColor="text1"/>
        </w:rPr>
        <w:t>公司内部控制的总体目标</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w:t>
      </w:r>
      <w:r w:rsidRPr="00286323">
        <w:rPr>
          <w:rFonts w:asciiTheme="minorEastAsia" w:eastAsiaTheme="minorEastAsia" w:hAnsiTheme="minorEastAsia" w:cs="Arial"/>
          <w:color w:val="000000" w:themeColor="text1"/>
        </w:rPr>
        <w:t>保证公司经营管理活动的合法合规性；</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（2）</w:t>
      </w:r>
      <w:r w:rsidRPr="00286323">
        <w:rPr>
          <w:rFonts w:asciiTheme="minorEastAsia" w:eastAsiaTheme="minorEastAsia" w:hAnsiTheme="minorEastAsia" w:cs="Arial"/>
          <w:color w:val="000000" w:themeColor="text1"/>
        </w:rPr>
        <w:t>保证基金份额持有人的合法权益不受侵犯；</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（3）</w:t>
      </w:r>
      <w:r w:rsidRPr="00286323">
        <w:rPr>
          <w:rFonts w:asciiTheme="minorEastAsia" w:eastAsiaTheme="minorEastAsia" w:hAnsiTheme="minorEastAsia" w:cs="Arial"/>
          <w:color w:val="000000" w:themeColor="text1"/>
        </w:rPr>
        <w:t>实现公司稳健、持续发展，维护股东权益；</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（4）</w:t>
      </w:r>
      <w:r w:rsidRPr="00286323">
        <w:rPr>
          <w:rFonts w:asciiTheme="minorEastAsia" w:eastAsiaTheme="minorEastAsia" w:hAnsiTheme="minorEastAsia" w:cs="Arial"/>
          <w:color w:val="000000" w:themeColor="text1"/>
        </w:rPr>
        <w:t>促进公司全体员工恪守职业操守，正直诚信，廉洁自律，勤勉尽责；</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（5）</w:t>
      </w:r>
      <w:r w:rsidRPr="00286323">
        <w:rPr>
          <w:rFonts w:asciiTheme="minorEastAsia" w:eastAsiaTheme="minorEastAsia" w:hAnsiTheme="minorEastAsia" w:cs="Arial"/>
          <w:color w:val="000000" w:themeColor="text1"/>
        </w:rPr>
        <w:t>保护公司最重要的资本：公司声誉。</w:t>
      </w:r>
    </w:p>
    <w:p w:rsidR="001A7CDB" w:rsidRPr="00286323" w:rsidRDefault="001A7CDB" w:rsidP="00F71D3B">
      <w:pPr>
        <w:tabs>
          <w:tab w:val="left" w:pos="567"/>
        </w:tabs>
        <w:snapToGrid w:val="0"/>
        <w:spacing w:line="360" w:lineRule="auto"/>
        <w:ind w:firstLineChars="200" w:firstLine="420"/>
        <w:rPr>
          <w:rFonts w:asciiTheme="minorEastAsia" w:eastAsiaTheme="minorEastAsia" w:hAnsiTheme="minorEastAsia" w:cs="Arial"/>
          <w:bCs/>
          <w:color w:val="000000" w:themeColor="text1"/>
        </w:rPr>
      </w:pPr>
      <w:r w:rsidRPr="00286323">
        <w:rPr>
          <w:rFonts w:asciiTheme="minorEastAsia" w:eastAsiaTheme="minorEastAsia" w:hAnsiTheme="minorEastAsia" w:cs="Arial" w:hint="eastAsia"/>
          <w:bCs/>
          <w:color w:val="000000" w:themeColor="text1"/>
        </w:rPr>
        <w:t>2、</w:t>
      </w:r>
      <w:r w:rsidRPr="00286323">
        <w:rPr>
          <w:rFonts w:asciiTheme="minorEastAsia" w:eastAsiaTheme="minorEastAsia" w:hAnsiTheme="minorEastAsia" w:cs="Arial"/>
          <w:bCs/>
          <w:color w:val="000000" w:themeColor="text1"/>
        </w:rPr>
        <w:t>公司内部控制遵循的原则</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w:t>
      </w:r>
      <w:r w:rsidRPr="00286323">
        <w:rPr>
          <w:rFonts w:asciiTheme="minorEastAsia" w:eastAsiaTheme="minorEastAsia" w:hAnsiTheme="minorEastAsia" w:cs="Arial"/>
          <w:color w:val="000000" w:themeColor="text1"/>
        </w:rPr>
        <w:t>全面性原则：内部控制必须覆盖公司的所有部门和岗位，渗透各项业务过程和业务环节，并普遍适用于公司每一位职员；</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（2）</w:t>
      </w:r>
      <w:r w:rsidRPr="00286323">
        <w:rPr>
          <w:rFonts w:asciiTheme="minorEastAsia" w:eastAsiaTheme="minorEastAsia" w:hAnsiTheme="minorEastAsia" w:cs="Arial"/>
          <w:color w:val="000000" w:themeColor="text1"/>
        </w:rPr>
        <w:t>审慎性原则：内部控制的核心是有效防范各种风险，公司组织体系的构成、内部管理制度的建立都要以防范风险、审慎经营为出发点；</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（3）</w:t>
      </w:r>
      <w:r w:rsidRPr="00286323">
        <w:rPr>
          <w:rFonts w:asciiTheme="minorEastAsia" w:eastAsiaTheme="minorEastAsia" w:hAnsiTheme="minorEastAsia" w:cs="Arial"/>
          <w:color w:val="000000" w:themeColor="text1"/>
        </w:rPr>
        <w:t>相互制约原则：公司设置的各部门、各岗位权责分明、相互制衡</w:t>
      </w:r>
      <w:r w:rsidRPr="00286323">
        <w:rPr>
          <w:rFonts w:asciiTheme="minorEastAsia" w:eastAsiaTheme="minorEastAsia" w:hAnsiTheme="minorEastAsia" w:cs="Arial" w:hint="eastAsia"/>
          <w:color w:val="000000" w:themeColor="text1"/>
        </w:rPr>
        <w:t>；</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（4）</w:t>
      </w:r>
      <w:r w:rsidRPr="00286323">
        <w:rPr>
          <w:rFonts w:asciiTheme="minorEastAsia" w:eastAsiaTheme="minorEastAsia" w:hAnsiTheme="minorEastAsia" w:cs="Arial"/>
          <w:color w:val="000000" w:themeColor="text1"/>
        </w:rPr>
        <w:t>独立性原则：公司根据业务的需要设立相对独立的机构、部门和岗位；公司内部部门和岗位的设置必须权责分明；</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（5）</w:t>
      </w:r>
      <w:r w:rsidRPr="00286323">
        <w:rPr>
          <w:rFonts w:asciiTheme="minorEastAsia" w:eastAsiaTheme="minorEastAsia" w:hAnsiTheme="minorEastAsia" w:cs="Arial"/>
          <w:color w:val="000000" w:themeColor="text1"/>
        </w:rPr>
        <w:t>有效性原则：各种内部管理制度具有高度的权威性，应是所有员工严格遵守的行动指南；执行内部管理制度不能有任何例外，任何人不得拥有超越制度或违反规章的权力；</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（6）</w:t>
      </w:r>
      <w:r w:rsidRPr="00286323">
        <w:rPr>
          <w:rFonts w:asciiTheme="minorEastAsia" w:eastAsiaTheme="minorEastAsia" w:hAnsiTheme="minorEastAsia" w:cs="Arial"/>
          <w:color w:val="000000" w:themeColor="text1"/>
        </w:rPr>
        <w:t>适时性原则：内部控制应具有前瞻性，并且必须随着公司经营战略、经营方针、经营理念等内部环境的变化和国家法律法规、政策制度等外部环境的改变及时进行相应的修改和完善；</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lastRenderedPageBreak/>
        <w:t>（7）</w:t>
      </w:r>
      <w:r w:rsidRPr="00286323">
        <w:rPr>
          <w:rFonts w:asciiTheme="minorEastAsia" w:eastAsiaTheme="minorEastAsia" w:hAnsiTheme="minorEastAsia" w:cs="Arial"/>
          <w:color w:val="000000" w:themeColor="text1"/>
        </w:rPr>
        <w:t>成本效益原则：公司运用科学化的经营管理方法降低运作成本，提高经济效益，力争以合理的控制成本达到最佳的内部控制效果。</w:t>
      </w:r>
    </w:p>
    <w:p w:rsidR="001A7CDB" w:rsidRPr="00286323" w:rsidRDefault="001A7CDB" w:rsidP="00F71D3B">
      <w:pPr>
        <w:tabs>
          <w:tab w:val="left" w:pos="567"/>
        </w:tabs>
        <w:snapToGrid w:val="0"/>
        <w:spacing w:line="360" w:lineRule="auto"/>
        <w:ind w:firstLineChars="200" w:firstLine="420"/>
        <w:rPr>
          <w:rFonts w:asciiTheme="minorEastAsia" w:eastAsiaTheme="minorEastAsia" w:hAnsiTheme="minorEastAsia" w:cs="Arial"/>
          <w:bCs/>
          <w:color w:val="000000" w:themeColor="text1"/>
        </w:rPr>
      </w:pPr>
      <w:r w:rsidRPr="00286323">
        <w:rPr>
          <w:rFonts w:asciiTheme="minorEastAsia" w:eastAsiaTheme="minorEastAsia" w:hAnsiTheme="minorEastAsia" w:cs="Arial" w:hint="eastAsia"/>
          <w:bCs/>
          <w:color w:val="000000" w:themeColor="text1"/>
        </w:rPr>
        <w:t>3、</w:t>
      </w:r>
      <w:r w:rsidRPr="00286323">
        <w:rPr>
          <w:rFonts w:asciiTheme="minorEastAsia" w:eastAsiaTheme="minorEastAsia" w:hAnsiTheme="minorEastAsia" w:cs="Arial"/>
          <w:bCs/>
          <w:color w:val="000000" w:themeColor="text1"/>
        </w:rPr>
        <w:t>内部控制的制度体系</w:t>
      </w:r>
    </w:p>
    <w:p w:rsidR="001A7CDB" w:rsidRPr="00286323" w:rsidRDefault="001A7CDB" w:rsidP="00F71D3B">
      <w:pPr>
        <w:pStyle w:val="af"/>
        <w:autoSpaceDE w:val="0"/>
        <w:autoSpaceDN w:val="0"/>
        <w:adjustRightInd w:val="0"/>
        <w:snapToGrid w:val="0"/>
        <w:spacing w:line="360" w:lineRule="auto"/>
        <w:ind w:firstLineChars="200"/>
        <w:rPr>
          <w:rFonts w:asciiTheme="minorEastAsia" w:eastAsiaTheme="minorEastAsia" w:hAnsiTheme="minorEastAsia" w:cs="Arial"/>
          <w:color w:val="000000" w:themeColor="text1"/>
          <w:szCs w:val="21"/>
        </w:rPr>
      </w:pPr>
      <w:r w:rsidRPr="00286323">
        <w:rPr>
          <w:rFonts w:asciiTheme="minorEastAsia" w:eastAsiaTheme="minorEastAsia" w:hAnsiTheme="minorEastAsia" w:cs="Arial"/>
          <w:color w:val="000000" w:themeColor="text1"/>
          <w:szCs w:val="2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E41503" w:rsidRPr="00286323" w:rsidRDefault="00E41503" w:rsidP="00E41503">
      <w:pPr>
        <w:pStyle w:val="af"/>
        <w:autoSpaceDE w:val="0"/>
        <w:autoSpaceDN w:val="0"/>
        <w:adjustRightInd w:val="0"/>
        <w:snapToGrid w:val="0"/>
        <w:spacing w:line="360" w:lineRule="auto"/>
        <w:ind w:firstLineChars="200"/>
        <w:rPr>
          <w:rFonts w:asciiTheme="minorEastAsia" w:eastAsiaTheme="minorEastAsia" w:hAnsiTheme="minorEastAsia" w:cs="Arial"/>
          <w:bCs/>
          <w:color w:val="000000" w:themeColor="text1"/>
          <w:kern w:val="0"/>
          <w:szCs w:val="21"/>
        </w:rPr>
      </w:pPr>
      <w:r w:rsidRPr="00286323">
        <w:rPr>
          <w:rFonts w:asciiTheme="minorEastAsia" w:eastAsiaTheme="minorEastAsia" w:hAnsiTheme="minorEastAsia" w:cs="Arial" w:hint="eastAsia"/>
          <w:bCs/>
          <w:color w:val="000000" w:themeColor="text1"/>
          <w:kern w:val="0"/>
          <w:szCs w:val="21"/>
        </w:rPr>
        <w:t>4、关于授权、研究、投资、交易等方面的控制点</w:t>
      </w:r>
    </w:p>
    <w:p w:rsidR="00E41503" w:rsidRPr="00286323" w:rsidRDefault="00E41503" w:rsidP="00E41503">
      <w:pPr>
        <w:pStyle w:val="af"/>
        <w:autoSpaceDE w:val="0"/>
        <w:autoSpaceDN w:val="0"/>
        <w:adjustRightInd w:val="0"/>
        <w:snapToGrid w:val="0"/>
        <w:spacing w:line="360" w:lineRule="auto"/>
        <w:ind w:firstLineChars="200"/>
        <w:rPr>
          <w:rFonts w:asciiTheme="minorEastAsia" w:eastAsiaTheme="minorEastAsia" w:hAnsiTheme="minorEastAsia" w:cs="Arial"/>
          <w:bCs/>
          <w:color w:val="000000" w:themeColor="text1"/>
          <w:kern w:val="0"/>
          <w:szCs w:val="21"/>
        </w:rPr>
      </w:pPr>
      <w:r w:rsidRPr="00286323">
        <w:rPr>
          <w:rFonts w:asciiTheme="minorEastAsia" w:eastAsiaTheme="minorEastAsia" w:hAnsiTheme="minorEastAsia" w:cs="Arial" w:hint="eastAsia"/>
          <w:bCs/>
          <w:color w:val="000000" w:themeColor="text1"/>
          <w:kern w:val="0"/>
          <w:szCs w:val="21"/>
        </w:rPr>
        <w:t>（1）授权制度</w:t>
      </w:r>
    </w:p>
    <w:p w:rsidR="00E41503" w:rsidRPr="00286323" w:rsidRDefault="00E41503" w:rsidP="00E41503">
      <w:pPr>
        <w:pStyle w:val="af"/>
        <w:autoSpaceDE w:val="0"/>
        <w:autoSpaceDN w:val="0"/>
        <w:adjustRightInd w:val="0"/>
        <w:snapToGrid w:val="0"/>
        <w:spacing w:line="360" w:lineRule="auto"/>
        <w:ind w:firstLineChars="200"/>
        <w:rPr>
          <w:rFonts w:asciiTheme="minorEastAsia" w:eastAsiaTheme="minorEastAsia" w:hAnsiTheme="minorEastAsia" w:cs="Arial"/>
          <w:bCs/>
          <w:color w:val="000000" w:themeColor="text1"/>
          <w:kern w:val="0"/>
          <w:szCs w:val="21"/>
        </w:rPr>
      </w:pPr>
      <w:r w:rsidRPr="00286323">
        <w:rPr>
          <w:rFonts w:asciiTheme="minorEastAsia" w:eastAsiaTheme="minorEastAsia" w:hAnsiTheme="minorEastAsia" w:cs="Arial" w:hint="eastAsia"/>
          <w:bCs/>
          <w:color w:val="000000" w:themeColor="text1"/>
          <w:kern w:val="0"/>
          <w:szCs w:val="21"/>
        </w:rPr>
        <w:t>公司的授权制度贯穿于整个公司活动。股东会、董事会、监事会和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公司授权应适当，对已获授权的部门和人员应建立有效的评价和反馈机制，对已不适用的授权应及时修改或取消授权。</w:t>
      </w:r>
    </w:p>
    <w:p w:rsidR="00E41503" w:rsidRPr="00286323" w:rsidRDefault="00E41503" w:rsidP="00E41503">
      <w:pPr>
        <w:pStyle w:val="af"/>
        <w:autoSpaceDE w:val="0"/>
        <w:autoSpaceDN w:val="0"/>
        <w:adjustRightInd w:val="0"/>
        <w:snapToGrid w:val="0"/>
        <w:spacing w:line="360" w:lineRule="auto"/>
        <w:ind w:firstLineChars="200"/>
        <w:rPr>
          <w:rFonts w:asciiTheme="minorEastAsia" w:eastAsiaTheme="minorEastAsia" w:hAnsiTheme="minorEastAsia" w:cs="Arial"/>
          <w:bCs/>
          <w:color w:val="000000" w:themeColor="text1"/>
          <w:kern w:val="0"/>
          <w:szCs w:val="21"/>
        </w:rPr>
      </w:pPr>
      <w:r w:rsidRPr="00286323">
        <w:rPr>
          <w:rFonts w:asciiTheme="minorEastAsia" w:eastAsiaTheme="minorEastAsia" w:hAnsiTheme="minorEastAsia" w:cs="Arial" w:hint="eastAsia"/>
          <w:bCs/>
          <w:color w:val="000000" w:themeColor="text1"/>
          <w:kern w:val="0"/>
          <w:szCs w:val="21"/>
        </w:rPr>
        <w:t>（2）公司研究业务</w:t>
      </w:r>
    </w:p>
    <w:p w:rsidR="00E41503" w:rsidRPr="00286323" w:rsidRDefault="00E41503" w:rsidP="00E41503">
      <w:pPr>
        <w:pStyle w:val="af"/>
        <w:autoSpaceDE w:val="0"/>
        <w:autoSpaceDN w:val="0"/>
        <w:adjustRightInd w:val="0"/>
        <w:snapToGrid w:val="0"/>
        <w:spacing w:line="360" w:lineRule="auto"/>
        <w:ind w:firstLineChars="200"/>
        <w:rPr>
          <w:rFonts w:asciiTheme="minorEastAsia" w:eastAsiaTheme="minorEastAsia" w:hAnsiTheme="minorEastAsia" w:cs="Arial"/>
          <w:bCs/>
          <w:color w:val="000000" w:themeColor="text1"/>
          <w:kern w:val="0"/>
          <w:szCs w:val="21"/>
        </w:rPr>
      </w:pPr>
      <w:r w:rsidRPr="00286323">
        <w:rPr>
          <w:rFonts w:asciiTheme="minorEastAsia" w:eastAsiaTheme="minorEastAsia" w:hAnsiTheme="minorEastAsia" w:cs="Arial" w:hint="eastAsia"/>
          <w:bCs/>
          <w:color w:val="000000" w:themeColor="text1"/>
          <w:kern w:val="0"/>
          <w:szCs w:val="21"/>
        </w:rPr>
        <w:t>研究工作应保持独立、客观，不受任何部门及个人的不正当影响；建立严谨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E41503" w:rsidRPr="00286323" w:rsidRDefault="00E41503" w:rsidP="00E41503">
      <w:pPr>
        <w:pStyle w:val="af"/>
        <w:autoSpaceDE w:val="0"/>
        <w:autoSpaceDN w:val="0"/>
        <w:adjustRightInd w:val="0"/>
        <w:snapToGrid w:val="0"/>
        <w:spacing w:line="360" w:lineRule="auto"/>
        <w:ind w:firstLineChars="200"/>
        <w:rPr>
          <w:rFonts w:asciiTheme="minorEastAsia" w:eastAsiaTheme="minorEastAsia" w:hAnsiTheme="minorEastAsia" w:cs="Arial"/>
          <w:bCs/>
          <w:color w:val="000000" w:themeColor="text1"/>
          <w:kern w:val="0"/>
          <w:szCs w:val="21"/>
        </w:rPr>
      </w:pPr>
      <w:r w:rsidRPr="00286323">
        <w:rPr>
          <w:rFonts w:asciiTheme="minorEastAsia" w:eastAsiaTheme="minorEastAsia" w:hAnsiTheme="minorEastAsia" w:cs="Arial" w:hint="eastAsia"/>
          <w:bCs/>
          <w:color w:val="000000" w:themeColor="text1"/>
          <w:kern w:val="0"/>
          <w:szCs w:val="21"/>
        </w:rPr>
        <w:t>（3）基金投资业务</w:t>
      </w:r>
    </w:p>
    <w:p w:rsidR="00E41503" w:rsidRPr="00286323" w:rsidRDefault="00E41503" w:rsidP="00E41503">
      <w:pPr>
        <w:pStyle w:val="af"/>
        <w:autoSpaceDE w:val="0"/>
        <w:autoSpaceDN w:val="0"/>
        <w:adjustRightInd w:val="0"/>
        <w:snapToGrid w:val="0"/>
        <w:spacing w:line="360" w:lineRule="auto"/>
        <w:ind w:firstLineChars="200"/>
        <w:rPr>
          <w:rFonts w:asciiTheme="minorEastAsia" w:eastAsiaTheme="minorEastAsia" w:hAnsiTheme="minorEastAsia" w:cs="Arial"/>
          <w:bCs/>
          <w:color w:val="000000" w:themeColor="text1"/>
          <w:kern w:val="0"/>
          <w:szCs w:val="21"/>
        </w:rPr>
      </w:pPr>
      <w:r w:rsidRPr="00286323">
        <w:rPr>
          <w:rFonts w:asciiTheme="minorEastAsia" w:eastAsiaTheme="minorEastAsia" w:hAnsiTheme="minorEastAsia" w:cs="Arial" w:hint="eastAsia"/>
          <w:bCs/>
          <w:color w:val="000000" w:themeColor="text1"/>
          <w:kern w:val="0"/>
          <w:szCs w:val="21"/>
        </w:rPr>
        <w:t>基金投资应确立科学的投资理念，根据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范围内；建立科学的投资业绩评价体系，及时回顾分析和评估投资结果。</w:t>
      </w:r>
    </w:p>
    <w:p w:rsidR="00E41503" w:rsidRPr="00286323" w:rsidRDefault="00E41503" w:rsidP="00E41503">
      <w:pPr>
        <w:pStyle w:val="af"/>
        <w:autoSpaceDE w:val="0"/>
        <w:autoSpaceDN w:val="0"/>
        <w:adjustRightInd w:val="0"/>
        <w:snapToGrid w:val="0"/>
        <w:spacing w:line="360" w:lineRule="auto"/>
        <w:ind w:firstLineChars="200"/>
        <w:rPr>
          <w:rFonts w:asciiTheme="minorEastAsia" w:eastAsiaTheme="minorEastAsia" w:hAnsiTheme="minorEastAsia" w:cs="Arial"/>
          <w:bCs/>
          <w:color w:val="000000" w:themeColor="text1"/>
          <w:kern w:val="0"/>
          <w:szCs w:val="21"/>
        </w:rPr>
      </w:pPr>
      <w:r w:rsidRPr="00286323">
        <w:rPr>
          <w:rFonts w:asciiTheme="minorEastAsia" w:eastAsiaTheme="minorEastAsia" w:hAnsiTheme="minorEastAsia" w:cs="Arial" w:hint="eastAsia"/>
          <w:bCs/>
          <w:color w:val="000000" w:themeColor="text1"/>
          <w:kern w:val="0"/>
          <w:szCs w:val="21"/>
        </w:rPr>
        <w:t>（4）交易业务</w:t>
      </w:r>
    </w:p>
    <w:p w:rsidR="00E41503" w:rsidRPr="00286323" w:rsidRDefault="00E41503" w:rsidP="00E41503">
      <w:pPr>
        <w:pStyle w:val="af"/>
        <w:autoSpaceDE w:val="0"/>
        <w:autoSpaceDN w:val="0"/>
        <w:adjustRightInd w:val="0"/>
        <w:snapToGrid w:val="0"/>
        <w:spacing w:line="360" w:lineRule="auto"/>
        <w:ind w:firstLineChars="200"/>
        <w:rPr>
          <w:rFonts w:asciiTheme="minorEastAsia" w:eastAsiaTheme="minorEastAsia" w:hAnsiTheme="minorEastAsia" w:cs="Arial"/>
          <w:bCs/>
          <w:color w:val="000000" w:themeColor="text1"/>
          <w:kern w:val="0"/>
          <w:szCs w:val="21"/>
        </w:rPr>
      </w:pPr>
      <w:r w:rsidRPr="00286323">
        <w:rPr>
          <w:rFonts w:asciiTheme="minorEastAsia" w:eastAsiaTheme="minorEastAsia" w:hAnsiTheme="minorEastAsia" w:cs="Arial" w:hint="eastAsia"/>
          <w:bCs/>
          <w:color w:val="000000" w:themeColor="text1"/>
          <w:kern w:val="0"/>
          <w:szCs w:val="21"/>
        </w:rPr>
        <w:t>建立集中交易部门和集中交易制度，投资指令通过集中交易部门完成；建立交易监测系统、预警系统和交易反馈系统，完善相关的安全设施；集中交易部门应对交易指令进行审核，建立公平的交易分配制度，确保公平对待不同基金；完善交易记录，并及时进行反</w:t>
      </w:r>
      <w:r w:rsidRPr="00286323">
        <w:rPr>
          <w:rFonts w:asciiTheme="minorEastAsia" w:eastAsiaTheme="minorEastAsia" w:hAnsiTheme="minorEastAsia" w:cs="Arial" w:hint="eastAsia"/>
          <w:bCs/>
          <w:color w:val="000000" w:themeColor="text1"/>
          <w:kern w:val="0"/>
          <w:szCs w:val="21"/>
        </w:rPr>
        <w:lastRenderedPageBreak/>
        <w:t>馈、核对和存档保管；建立科学的投资交易绩效评价体系。</w:t>
      </w:r>
    </w:p>
    <w:p w:rsidR="00E41503" w:rsidRPr="00286323" w:rsidRDefault="00E41503" w:rsidP="00E41503">
      <w:pPr>
        <w:pStyle w:val="af"/>
        <w:autoSpaceDE w:val="0"/>
        <w:autoSpaceDN w:val="0"/>
        <w:adjustRightInd w:val="0"/>
        <w:snapToGrid w:val="0"/>
        <w:spacing w:line="360" w:lineRule="auto"/>
        <w:ind w:firstLineChars="200"/>
        <w:rPr>
          <w:rFonts w:asciiTheme="minorEastAsia" w:eastAsiaTheme="minorEastAsia" w:hAnsiTheme="minorEastAsia" w:cs="Arial"/>
          <w:bCs/>
          <w:color w:val="000000" w:themeColor="text1"/>
          <w:kern w:val="0"/>
          <w:szCs w:val="21"/>
        </w:rPr>
      </w:pPr>
      <w:r w:rsidRPr="00286323">
        <w:rPr>
          <w:rFonts w:asciiTheme="minorEastAsia" w:eastAsiaTheme="minorEastAsia" w:hAnsiTheme="minorEastAsia" w:cs="Arial" w:hint="eastAsia"/>
          <w:bCs/>
          <w:color w:val="000000" w:themeColor="text1"/>
          <w:kern w:val="0"/>
          <w:szCs w:val="21"/>
        </w:rPr>
        <w:t>（5）基金会计核算</w:t>
      </w:r>
    </w:p>
    <w:p w:rsidR="00E41503" w:rsidRPr="00286323" w:rsidRDefault="00E41503" w:rsidP="00E41503">
      <w:pPr>
        <w:pStyle w:val="af"/>
        <w:autoSpaceDE w:val="0"/>
        <w:autoSpaceDN w:val="0"/>
        <w:adjustRightInd w:val="0"/>
        <w:snapToGrid w:val="0"/>
        <w:spacing w:line="360" w:lineRule="auto"/>
        <w:ind w:firstLineChars="200"/>
        <w:rPr>
          <w:rFonts w:asciiTheme="minorEastAsia" w:eastAsiaTheme="minorEastAsia" w:hAnsiTheme="minorEastAsia" w:cs="Arial"/>
          <w:bCs/>
          <w:color w:val="000000" w:themeColor="text1"/>
          <w:kern w:val="0"/>
          <w:szCs w:val="21"/>
        </w:rPr>
      </w:pPr>
      <w:r w:rsidRPr="00286323">
        <w:rPr>
          <w:rFonts w:asciiTheme="minorEastAsia" w:eastAsiaTheme="minorEastAsia" w:hAnsiTheme="minorEastAsia" w:cs="Arial" w:hint="eastAsia"/>
          <w:bCs/>
          <w:color w:val="000000" w:themeColor="text1"/>
          <w:kern w:val="0"/>
          <w:szCs w:val="21"/>
        </w:rPr>
        <w:t>公司根据法律法规及业务的要求建立会计制度，并根据风险控制点建立健全规范的系统和流程，以基金为会计核算主体，独立建账、独立核算。通过合理的估值方法和估值程序等会计措施，真实、完整、及时地记载每一笔业务并正确进行会计核算和业务核算。同时建立会计档案保管制度，确保档案真实完整。</w:t>
      </w:r>
    </w:p>
    <w:p w:rsidR="00E41503" w:rsidRPr="00286323" w:rsidRDefault="00E41503" w:rsidP="00E41503">
      <w:pPr>
        <w:pStyle w:val="af"/>
        <w:autoSpaceDE w:val="0"/>
        <w:autoSpaceDN w:val="0"/>
        <w:adjustRightInd w:val="0"/>
        <w:snapToGrid w:val="0"/>
        <w:spacing w:line="360" w:lineRule="auto"/>
        <w:ind w:firstLineChars="200"/>
        <w:rPr>
          <w:rFonts w:asciiTheme="minorEastAsia" w:eastAsiaTheme="minorEastAsia" w:hAnsiTheme="minorEastAsia" w:cs="Arial"/>
          <w:bCs/>
          <w:color w:val="000000" w:themeColor="text1"/>
          <w:kern w:val="0"/>
          <w:szCs w:val="21"/>
        </w:rPr>
      </w:pPr>
      <w:r w:rsidRPr="00286323">
        <w:rPr>
          <w:rFonts w:asciiTheme="minorEastAsia" w:eastAsiaTheme="minorEastAsia" w:hAnsiTheme="minorEastAsia" w:cs="Arial" w:hint="eastAsia"/>
          <w:bCs/>
          <w:color w:val="000000" w:themeColor="text1"/>
          <w:kern w:val="0"/>
          <w:szCs w:val="21"/>
        </w:rPr>
        <w:t>（6）信息披露</w:t>
      </w:r>
    </w:p>
    <w:p w:rsidR="00E41503" w:rsidRPr="00286323" w:rsidRDefault="00E41503" w:rsidP="00E41503">
      <w:pPr>
        <w:pStyle w:val="af"/>
        <w:autoSpaceDE w:val="0"/>
        <w:autoSpaceDN w:val="0"/>
        <w:adjustRightInd w:val="0"/>
        <w:snapToGrid w:val="0"/>
        <w:spacing w:line="360" w:lineRule="auto"/>
        <w:ind w:firstLineChars="200"/>
        <w:rPr>
          <w:rFonts w:asciiTheme="minorEastAsia" w:eastAsiaTheme="minorEastAsia" w:hAnsiTheme="minorEastAsia" w:cs="Arial"/>
          <w:bCs/>
          <w:color w:val="000000" w:themeColor="text1"/>
          <w:kern w:val="0"/>
          <w:szCs w:val="21"/>
        </w:rPr>
      </w:pPr>
      <w:r w:rsidRPr="00286323">
        <w:rPr>
          <w:rFonts w:asciiTheme="minorEastAsia" w:eastAsiaTheme="minorEastAsia" w:hAnsiTheme="minorEastAsia" w:cs="Arial" w:hint="eastAsia"/>
          <w:bCs/>
          <w:color w:val="000000" w:themeColor="text1"/>
          <w:kern w:val="0"/>
          <w:szCs w:val="21"/>
        </w:rPr>
        <w:t>公司建立了完备的信息披露制度，指定了信息披露负责人，并建立了相应的制度流程规范相关信息的收集、组织、审核和发布，努力确保公开披露的信息真实、准确、完整、及时。</w:t>
      </w:r>
    </w:p>
    <w:p w:rsidR="00E41503" w:rsidRPr="00286323" w:rsidRDefault="00E41503" w:rsidP="00E41503">
      <w:pPr>
        <w:pStyle w:val="af"/>
        <w:autoSpaceDE w:val="0"/>
        <w:autoSpaceDN w:val="0"/>
        <w:adjustRightInd w:val="0"/>
        <w:snapToGrid w:val="0"/>
        <w:spacing w:line="360" w:lineRule="auto"/>
        <w:ind w:firstLineChars="200"/>
        <w:rPr>
          <w:rFonts w:asciiTheme="minorEastAsia" w:eastAsiaTheme="minorEastAsia" w:hAnsiTheme="minorEastAsia" w:cs="Arial"/>
          <w:bCs/>
          <w:color w:val="000000" w:themeColor="text1"/>
          <w:kern w:val="0"/>
          <w:szCs w:val="21"/>
        </w:rPr>
      </w:pPr>
      <w:r w:rsidRPr="00286323">
        <w:rPr>
          <w:rFonts w:asciiTheme="minorEastAsia" w:eastAsiaTheme="minorEastAsia" w:hAnsiTheme="minorEastAsia" w:cs="Arial" w:hint="eastAsia"/>
          <w:bCs/>
          <w:color w:val="000000" w:themeColor="text1"/>
          <w:kern w:val="0"/>
          <w:szCs w:val="21"/>
        </w:rPr>
        <w:t>（7）监察与合规管理</w:t>
      </w:r>
    </w:p>
    <w:p w:rsidR="00E41503" w:rsidRPr="00286323" w:rsidRDefault="00E41503" w:rsidP="00E41503">
      <w:pPr>
        <w:pStyle w:val="af"/>
        <w:autoSpaceDE w:val="0"/>
        <w:autoSpaceDN w:val="0"/>
        <w:adjustRightInd w:val="0"/>
        <w:snapToGrid w:val="0"/>
        <w:spacing w:line="360" w:lineRule="auto"/>
        <w:ind w:firstLineChars="200"/>
        <w:rPr>
          <w:rFonts w:asciiTheme="minorEastAsia" w:eastAsiaTheme="minorEastAsia" w:hAnsiTheme="minorEastAsia" w:cs="Arial"/>
          <w:bCs/>
          <w:color w:val="000000" w:themeColor="text1"/>
          <w:kern w:val="0"/>
          <w:szCs w:val="21"/>
        </w:rPr>
      </w:pPr>
      <w:r w:rsidRPr="00286323">
        <w:rPr>
          <w:rFonts w:asciiTheme="minorEastAsia" w:eastAsiaTheme="minorEastAsia" w:hAnsiTheme="minorEastAsia" w:cs="Arial" w:hint="eastAsia"/>
          <w:bCs/>
          <w:color w:val="000000" w:themeColor="text1"/>
          <w:kern w:val="0"/>
          <w:szCs w:val="21"/>
        </w:rPr>
        <w:t>公司设立督察长，由董事会聘任，向董事会负责。根据公司监察与合规管理工作的需要和董事会授权，督察长可以列席公司相关会议，调阅公司相关档案资料，就内部控制制度的执行情况独立地履行检查、评价、报告、建议职能。督察长定期和不定期向董事会报告公司内部控制执行情况，董事会对督察长的报告进行审议。</w:t>
      </w:r>
    </w:p>
    <w:p w:rsidR="00E41503" w:rsidRPr="00286323" w:rsidRDefault="00E41503" w:rsidP="00E41503">
      <w:pPr>
        <w:pStyle w:val="af"/>
        <w:autoSpaceDE w:val="0"/>
        <w:autoSpaceDN w:val="0"/>
        <w:adjustRightInd w:val="0"/>
        <w:snapToGrid w:val="0"/>
        <w:spacing w:line="360" w:lineRule="auto"/>
        <w:ind w:firstLineChars="200"/>
        <w:rPr>
          <w:rFonts w:asciiTheme="minorEastAsia" w:eastAsiaTheme="minorEastAsia" w:hAnsiTheme="minorEastAsia" w:cs="Arial"/>
          <w:bCs/>
          <w:color w:val="000000" w:themeColor="text1"/>
          <w:kern w:val="0"/>
          <w:szCs w:val="21"/>
        </w:rPr>
      </w:pPr>
      <w:r w:rsidRPr="00286323">
        <w:rPr>
          <w:rFonts w:asciiTheme="minorEastAsia" w:eastAsiaTheme="minorEastAsia" w:hAnsiTheme="minorEastAsia" w:cs="Arial" w:hint="eastAsia"/>
          <w:bCs/>
          <w:color w:val="000000" w:themeColor="text1"/>
          <w:kern w:val="0"/>
          <w:szCs w:val="21"/>
        </w:rPr>
        <w:t>公司设立监察合规管理部门，并保障其独立性。监察合规管理部门按照公司规定和督察长的安排履行监察与合规管理职责。</w:t>
      </w:r>
    </w:p>
    <w:p w:rsidR="00E41503" w:rsidRPr="00286323" w:rsidRDefault="00E41503" w:rsidP="00E41503">
      <w:pPr>
        <w:pStyle w:val="af"/>
        <w:autoSpaceDE w:val="0"/>
        <w:autoSpaceDN w:val="0"/>
        <w:adjustRightInd w:val="0"/>
        <w:snapToGrid w:val="0"/>
        <w:spacing w:line="360" w:lineRule="auto"/>
        <w:ind w:firstLineChars="200"/>
        <w:rPr>
          <w:rFonts w:asciiTheme="minorEastAsia" w:eastAsiaTheme="minorEastAsia" w:hAnsiTheme="minorEastAsia" w:cs="Arial"/>
          <w:bCs/>
          <w:color w:val="000000" w:themeColor="text1"/>
          <w:kern w:val="0"/>
          <w:szCs w:val="21"/>
        </w:rPr>
      </w:pPr>
      <w:r w:rsidRPr="00286323">
        <w:rPr>
          <w:rFonts w:asciiTheme="minorEastAsia" w:eastAsiaTheme="minorEastAsia" w:hAnsiTheme="minorEastAsia" w:cs="Arial" w:hint="eastAsia"/>
          <w:bCs/>
          <w:color w:val="000000" w:themeColor="text1"/>
          <w:kern w:val="0"/>
          <w:szCs w:val="21"/>
        </w:rPr>
        <w:t>监察合规管理部门通过定期或不定期检查内部控制制度的执行情况，督促公司和旗下基金的管理运作规范进行。</w:t>
      </w:r>
    </w:p>
    <w:p w:rsidR="00E41503" w:rsidRPr="00286323" w:rsidRDefault="00E41503" w:rsidP="00E41503">
      <w:pPr>
        <w:pStyle w:val="af"/>
        <w:autoSpaceDE w:val="0"/>
        <w:autoSpaceDN w:val="0"/>
        <w:adjustRightInd w:val="0"/>
        <w:snapToGrid w:val="0"/>
        <w:spacing w:line="360" w:lineRule="auto"/>
        <w:ind w:firstLineChars="200"/>
        <w:rPr>
          <w:rFonts w:asciiTheme="minorEastAsia" w:eastAsiaTheme="minorEastAsia" w:hAnsiTheme="minorEastAsia" w:cs="Arial"/>
          <w:bCs/>
          <w:color w:val="000000" w:themeColor="text1"/>
          <w:kern w:val="0"/>
          <w:szCs w:val="21"/>
        </w:rPr>
      </w:pPr>
      <w:r w:rsidRPr="00286323">
        <w:rPr>
          <w:rFonts w:asciiTheme="minorEastAsia" w:eastAsiaTheme="minorEastAsia" w:hAnsiTheme="minorEastAsia" w:cs="Arial" w:hint="eastAsia"/>
          <w:bCs/>
          <w:color w:val="000000" w:themeColor="text1"/>
          <w:kern w:val="0"/>
          <w:szCs w:val="21"/>
        </w:rPr>
        <w:t>公司董事会和管理层充分重视和支持监察与合规管理工作，对违反法律、法规和公司内部控制制度的，追究有关部门和人员的责任。</w:t>
      </w:r>
    </w:p>
    <w:p w:rsidR="00E41503" w:rsidRPr="00286323" w:rsidRDefault="00E41503" w:rsidP="00E41503">
      <w:pPr>
        <w:pStyle w:val="af"/>
        <w:autoSpaceDE w:val="0"/>
        <w:autoSpaceDN w:val="0"/>
        <w:adjustRightInd w:val="0"/>
        <w:snapToGrid w:val="0"/>
        <w:spacing w:line="360" w:lineRule="auto"/>
        <w:ind w:firstLineChars="200"/>
        <w:rPr>
          <w:rFonts w:asciiTheme="minorEastAsia" w:eastAsiaTheme="minorEastAsia" w:hAnsiTheme="minorEastAsia" w:cs="Arial"/>
          <w:bCs/>
          <w:color w:val="000000" w:themeColor="text1"/>
          <w:kern w:val="0"/>
          <w:szCs w:val="21"/>
        </w:rPr>
      </w:pPr>
      <w:r w:rsidRPr="00286323">
        <w:rPr>
          <w:rFonts w:asciiTheme="minorEastAsia" w:eastAsiaTheme="minorEastAsia" w:hAnsiTheme="minorEastAsia" w:cs="Arial" w:hint="eastAsia"/>
          <w:bCs/>
          <w:color w:val="000000" w:themeColor="text1"/>
          <w:kern w:val="0"/>
          <w:szCs w:val="21"/>
        </w:rPr>
        <w:t>5、基金管理人关于内部控制制度声明书</w:t>
      </w:r>
    </w:p>
    <w:p w:rsidR="00E41503" w:rsidRPr="00286323" w:rsidRDefault="00E41503" w:rsidP="00E41503">
      <w:pPr>
        <w:pStyle w:val="af"/>
        <w:autoSpaceDE w:val="0"/>
        <w:autoSpaceDN w:val="0"/>
        <w:adjustRightInd w:val="0"/>
        <w:snapToGrid w:val="0"/>
        <w:spacing w:line="360" w:lineRule="auto"/>
        <w:ind w:firstLineChars="200"/>
        <w:rPr>
          <w:rFonts w:asciiTheme="minorEastAsia" w:eastAsiaTheme="minorEastAsia" w:hAnsiTheme="minorEastAsia" w:cs="Arial"/>
          <w:bCs/>
          <w:color w:val="000000" w:themeColor="text1"/>
          <w:kern w:val="0"/>
          <w:szCs w:val="21"/>
        </w:rPr>
      </w:pPr>
      <w:r w:rsidRPr="00286323">
        <w:rPr>
          <w:rFonts w:asciiTheme="minorEastAsia" w:eastAsiaTheme="minorEastAsia" w:hAnsiTheme="minorEastAsia" w:cs="Arial" w:hint="eastAsia"/>
          <w:bCs/>
          <w:color w:val="000000" w:themeColor="text1"/>
          <w:kern w:val="0"/>
          <w:szCs w:val="21"/>
        </w:rPr>
        <w:t>（1）本公司承诺以上关于内部控制制度的披露真实、准确；</w:t>
      </w:r>
    </w:p>
    <w:p w:rsidR="001A7CDB" w:rsidRPr="00286323" w:rsidRDefault="00E41503" w:rsidP="000257D4">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bCs/>
          <w:color w:val="000000" w:themeColor="text1"/>
        </w:rPr>
        <w:t>（2）本公司承诺根据市场变化和公司业务发展不断完善内部控制制度。</w:t>
      </w:r>
    </w:p>
    <w:p w:rsidR="001A7CDB" w:rsidRPr="00286323" w:rsidRDefault="001A7CDB" w:rsidP="00F71D3B">
      <w:pPr>
        <w:tabs>
          <w:tab w:val="left" w:pos="735"/>
        </w:tabs>
        <w:snapToGrid w:val="0"/>
        <w:spacing w:line="360" w:lineRule="auto"/>
        <w:rPr>
          <w:rFonts w:asciiTheme="minorEastAsia" w:eastAsiaTheme="minorEastAsia" w:hAnsiTheme="minorEastAsia" w:cs="Arial"/>
          <w:color w:val="000000" w:themeColor="text1"/>
        </w:rPr>
        <w:sectPr w:rsidR="001A7CDB" w:rsidRPr="00286323" w:rsidSect="00D648D0">
          <w:pgSz w:w="11907" w:h="16840" w:code="9"/>
          <w:pgMar w:top="1701" w:right="1814" w:bottom="1701" w:left="1814" w:header="1134" w:footer="1247" w:gutter="0"/>
          <w:cols w:space="425"/>
          <w:docGrid w:type="linesAndChars" w:linePitch="312"/>
        </w:sectPr>
      </w:pPr>
    </w:p>
    <w:p w:rsidR="001A7CDB" w:rsidRPr="00286323" w:rsidRDefault="001A7CDB" w:rsidP="00F71D3B">
      <w:pPr>
        <w:pStyle w:val="11"/>
        <w:numPr>
          <w:ilvl w:val="0"/>
          <w:numId w:val="9"/>
        </w:numPr>
        <w:snapToGrid w:val="0"/>
        <w:spacing w:beforeLines="0" w:afterLines="0" w:line="360" w:lineRule="auto"/>
        <w:ind w:firstLineChars="0"/>
        <w:rPr>
          <w:rFonts w:asciiTheme="minorEastAsia" w:eastAsiaTheme="minorEastAsia" w:hAnsiTheme="minorEastAsia" w:cs="Arial"/>
          <w:bCs/>
          <w:color w:val="000000" w:themeColor="text1"/>
          <w:szCs w:val="21"/>
        </w:rPr>
      </w:pPr>
      <w:bookmarkStart w:id="16" w:name="_Toc81922638"/>
      <w:r w:rsidRPr="00286323">
        <w:rPr>
          <w:rFonts w:asciiTheme="minorEastAsia" w:eastAsiaTheme="minorEastAsia" w:hAnsiTheme="minorEastAsia" w:cs="Arial" w:hint="eastAsia"/>
          <w:bCs/>
          <w:color w:val="000000" w:themeColor="text1"/>
          <w:szCs w:val="21"/>
        </w:rPr>
        <w:lastRenderedPageBreak/>
        <w:t>基金托管人</w:t>
      </w:r>
      <w:bookmarkEnd w:id="16"/>
    </w:p>
    <w:p w:rsidR="00155EFC" w:rsidRPr="00286323" w:rsidRDefault="00750911" w:rsidP="00155EFC">
      <w:pPr>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（一）基金托管人情况</w:t>
      </w:r>
    </w:p>
    <w:p w:rsidR="00155EFC" w:rsidRPr="00286323" w:rsidRDefault="00750911" w:rsidP="00155EFC">
      <w:pPr>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w:t>
      </w:r>
      <w:r w:rsidRPr="00286323">
        <w:rPr>
          <w:rFonts w:asciiTheme="minorEastAsia" w:eastAsiaTheme="minorEastAsia" w:hAnsiTheme="minorEastAsia"/>
          <w:color w:val="000000" w:themeColor="text1"/>
        </w:rPr>
        <w:t>、</w:t>
      </w:r>
      <w:r w:rsidRPr="00286323">
        <w:rPr>
          <w:rFonts w:asciiTheme="minorEastAsia" w:eastAsiaTheme="minorEastAsia" w:hAnsiTheme="minorEastAsia" w:hint="eastAsia"/>
          <w:color w:val="000000" w:themeColor="text1"/>
        </w:rPr>
        <w:t>基本情况</w:t>
      </w:r>
    </w:p>
    <w:p w:rsidR="00155EFC" w:rsidRPr="00286323" w:rsidRDefault="00750911" w:rsidP="00155EFC">
      <w:pPr>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名称：中国建设银行股份有限公司(简称：中国建设银行)</w:t>
      </w:r>
    </w:p>
    <w:p w:rsidR="00155EFC" w:rsidRPr="00286323" w:rsidRDefault="00750911" w:rsidP="00155EFC">
      <w:pPr>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住所：北京市西城区金融大街25号</w:t>
      </w:r>
    </w:p>
    <w:p w:rsidR="00155EFC" w:rsidRPr="00286323" w:rsidRDefault="00750911" w:rsidP="00155EFC">
      <w:pPr>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办公地址：北京市西城区闹市口大街1号院1号楼</w:t>
      </w:r>
    </w:p>
    <w:p w:rsidR="00155EFC" w:rsidRPr="00286323" w:rsidRDefault="00750911" w:rsidP="00155EFC">
      <w:pPr>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法定代表人：田国立</w:t>
      </w:r>
    </w:p>
    <w:p w:rsidR="00155EFC" w:rsidRPr="00286323" w:rsidRDefault="00750911" w:rsidP="00155EFC">
      <w:pPr>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成立时间：</w:t>
      </w:r>
      <w:smartTag w:uri="urn:schemas-microsoft-com:office:smarttags" w:element="chsdate">
        <w:smartTagPr>
          <w:attr w:name="Year" w:val="2004"/>
          <w:attr w:name="Month" w:val="09"/>
          <w:attr w:name="Day" w:val="17"/>
          <w:attr w:name="IsLunarDate" w:val="False"/>
          <w:attr w:name="IsROCDate" w:val="False"/>
        </w:smartTagPr>
        <w:r w:rsidRPr="00286323">
          <w:rPr>
            <w:rFonts w:asciiTheme="minorEastAsia" w:eastAsiaTheme="minorEastAsia" w:hAnsiTheme="minorEastAsia" w:hint="eastAsia"/>
            <w:color w:val="000000" w:themeColor="text1"/>
          </w:rPr>
          <w:t>2004年09月17日</w:t>
        </w:r>
      </w:smartTag>
    </w:p>
    <w:p w:rsidR="00155EFC" w:rsidRPr="00286323" w:rsidRDefault="00750911" w:rsidP="00155EFC">
      <w:pPr>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组织形式：股份有限公司</w:t>
      </w:r>
    </w:p>
    <w:p w:rsidR="00155EFC" w:rsidRPr="00286323" w:rsidRDefault="00750911" w:rsidP="00155EFC">
      <w:pPr>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注册资本：贰仟伍佰亿壹仟零玖拾柒万柒仟肆佰捌拾陆元整</w:t>
      </w:r>
    </w:p>
    <w:p w:rsidR="00155EFC" w:rsidRPr="00286323" w:rsidRDefault="00750911" w:rsidP="00155EFC">
      <w:pPr>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存续期间：持续经营</w:t>
      </w:r>
    </w:p>
    <w:p w:rsidR="00155EFC" w:rsidRPr="00286323" w:rsidRDefault="00750911" w:rsidP="00155EFC">
      <w:pPr>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基金托管资格批文及文号：中国证监会证监基字[1998]12号</w:t>
      </w:r>
    </w:p>
    <w:p w:rsidR="00155EFC" w:rsidRPr="00286323" w:rsidRDefault="00750911" w:rsidP="00155EFC">
      <w:pPr>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联系人：周海新</w:t>
      </w:r>
    </w:p>
    <w:p w:rsidR="00155EFC" w:rsidRPr="00286323" w:rsidRDefault="00750911" w:rsidP="00155EFC">
      <w:pPr>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w:t>
      </w:r>
      <w:r w:rsidRPr="00286323">
        <w:rPr>
          <w:rFonts w:asciiTheme="minorEastAsia" w:eastAsiaTheme="minorEastAsia" w:hAnsiTheme="minorEastAsia"/>
          <w:color w:val="000000" w:themeColor="text1"/>
        </w:rPr>
        <w:t>(021)6063 7111</w:t>
      </w:r>
    </w:p>
    <w:p w:rsidR="00155EFC" w:rsidRPr="00286323" w:rsidRDefault="00750911" w:rsidP="00155EFC">
      <w:pPr>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2、主要人员情况</w:t>
      </w:r>
    </w:p>
    <w:p w:rsidR="00155EFC" w:rsidRPr="00286323" w:rsidRDefault="00750911" w:rsidP="00155EFC">
      <w:pPr>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中国建设银行总行设资产托管业务部，下设综合处、基金市场处、证券保险资产市场处、理财信托股权市场处、全球托管处、养老金托管处、新兴业务处、运营管理处、跨境托管运营处、社保及大客户服务处、托管应用系统支持处、合规监督处等12个职能处室，在安徽合肥设有托管运营中心，在上海设有托管运营中心上海分中心，共有员工300余人。自2007年起，托管部连续聘请外部会计师事务所对托管业务进行内部控制审计，并已经成为常规化的内控工作手段。</w:t>
      </w:r>
    </w:p>
    <w:p w:rsidR="00155EFC" w:rsidRPr="00286323" w:rsidRDefault="00750911" w:rsidP="00155EFC">
      <w:pPr>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3、基金托管业务经营情况</w:t>
      </w:r>
    </w:p>
    <w:p w:rsidR="00155EFC" w:rsidRPr="00286323" w:rsidRDefault="00750911" w:rsidP="00155EFC">
      <w:pPr>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2020年二</w:t>
      </w:r>
      <w:r w:rsidRPr="00286323">
        <w:rPr>
          <w:rFonts w:asciiTheme="minorEastAsia" w:eastAsiaTheme="minorEastAsia" w:hAnsiTheme="minorEastAsia" w:hint="eastAsia"/>
          <w:color w:val="000000" w:themeColor="text1"/>
        </w:rPr>
        <w:lastRenderedPageBreak/>
        <w:t>季度末，中国建设银行已托管1000只证券投资基金。中国建设银行专业高效的托管服务能力和业务水平，赢得了业内的高度认同。中国建设银行先后9次获得《全球托管人》“中国最佳托管银行”、4次获得《财资》“中国最佳次托管银行”、连续多年荣获中央国债登记结算有限责任公司（中债）“优秀资产托管机构”、银行间市场清算所股份有限公司（上清所）“优秀托管银行”奖项，并在2016年被《环球金融》评为中国市场唯一一家“最佳托管银行”、在2017年及2019年分别荣获《亚洲银行家》“最佳托管系统实施奖”、“中国年度托管业务科技实施奖”。</w:t>
      </w:r>
    </w:p>
    <w:p w:rsidR="00155EFC" w:rsidRPr="00286323" w:rsidRDefault="00750911" w:rsidP="00155EFC">
      <w:pPr>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（二）基金托管人的内部控制制度</w:t>
      </w:r>
    </w:p>
    <w:p w:rsidR="00155EFC" w:rsidRPr="00286323" w:rsidRDefault="00750911" w:rsidP="00155EFC">
      <w:pPr>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1、内部控制目标</w:t>
      </w:r>
    </w:p>
    <w:p w:rsidR="00155EFC" w:rsidRPr="00286323" w:rsidRDefault="00750911" w:rsidP="00155EFC">
      <w:pPr>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作为基金托管人，中国建设银行严格遵守国家有关托管业务的法律法规、行业监管规章和本行内有关管理规定，守法经营、规范运作、严格检查，确保业务的稳健运行，保证基金财产的安全完整，确保有关信息的真实、准确、完整、及时，保护基金份额持有人的合法权益。</w:t>
      </w:r>
    </w:p>
    <w:p w:rsidR="00155EFC" w:rsidRPr="00286323" w:rsidRDefault="00750911" w:rsidP="00155EFC">
      <w:pPr>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2、内部控制组织结构</w:t>
      </w:r>
    </w:p>
    <w:p w:rsidR="00155EFC" w:rsidRPr="00286323" w:rsidRDefault="00750911" w:rsidP="00155EFC">
      <w:pPr>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155EFC" w:rsidRPr="00286323" w:rsidRDefault="00750911" w:rsidP="00155EFC">
      <w:pPr>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3、内部控制制度及措施</w:t>
      </w:r>
    </w:p>
    <w:p w:rsidR="00155EFC" w:rsidRPr="00286323" w:rsidRDefault="00750911" w:rsidP="00155EFC">
      <w:pPr>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155EFC" w:rsidRPr="00286323" w:rsidRDefault="00750911" w:rsidP="00155EFC">
      <w:pPr>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（三）基金托管人对基金管理人运作基金进行监督的方法和程序</w:t>
      </w:r>
    </w:p>
    <w:p w:rsidR="00155EFC" w:rsidRPr="00286323" w:rsidRDefault="00750911" w:rsidP="00155EFC">
      <w:pPr>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1、监督方法</w:t>
      </w:r>
    </w:p>
    <w:p w:rsidR="00155EFC" w:rsidRPr="00286323" w:rsidRDefault="00750911" w:rsidP="00155EFC">
      <w:pPr>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依照《基金法》及其配套法规和基金合同的约定，监督所托管基金的投资运作。利用自行开发的“新一代托管应用监督子系统”，严格按照现行法律法规以及基金合同规定，</w:t>
      </w:r>
      <w:r w:rsidRPr="00286323">
        <w:rPr>
          <w:rFonts w:asciiTheme="minorEastAsia" w:eastAsiaTheme="minorEastAsia" w:hAnsiTheme="minorEastAsia" w:hint="eastAsia"/>
          <w:color w:val="000000" w:themeColor="text1"/>
        </w:rPr>
        <w:lastRenderedPageBreak/>
        <w:t>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155EFC" w:rsidRPr="00286323" w:rsidRDefault="00750911" w:rsidP="00155EFC">
      <w:pPr>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2、监督流程</w:t>
      </w:r>
    </w:p>
    <w:p w:rsidR="00155EFC" w:rsidRPr="00286323" w:rsidRDefault="00750911" w:rsidP="00155EFC">
      <w:pPr>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155EFC" w:rsidRPr="00286323" w:rsidRDefault="00750911" w:rsidP="00155EFC">
      <w:pPr>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（2）收到基金管理人的划款指令后，对指令要素等内容进行核查。</w:t>
      </w:r>
    </w:p>
    <w:p w:rsidR="00155EFC" w:rsidRPr="00286323" w:rsidRDefault="00750911" w:rsidP="00155EFC">
      <w:pPr>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（3）通过技术或非技术手段发现基金涉嫌违规交易，电话或书面要求基金管理人进行解释或举证，如有必要将及时报告中国证监会。</w:t>
      </w:r>
    </w:p>
    <w:p w:rsidR="00155EFC" w:rsidRPr="00286323" w:rsidRDefault="00750911" w:rsidP="00155EFC">
      <w:pPr>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 xml:space="preserve"> </w:t>
      </w:r>
      <w:r w:rsidRPr="00286323">
        <w:rPr>
          <w:rFonts w:asciiTheme="minorEastAsia" w:eastAsiaTheme="minorEastAsia" w:hAnsiTheme="minorEastAsia"/>
          <w:color w:val="000000" w:themeColor="text1"/>
        </w:rPr>
        <w:br w:type="page"/>
      </w:r>
    </w:p>
    <w:p w:rsidR="001A7CDB" w:rsidRPr="00286323" w:rsidRDefault="001A7CDB" w:rsidP="00F71D3B">
      <w:pPr>
        <w:pStyle w:val="11"/>
        <w:numPr>
          <w:ilvl w:val="0"/>
          <w:numId w:val="9"/>
        </w:numPr>
        <w:snapToGrid w:val="0"/>
        <w:spacing w:beforeLines="0" w:afterLines="0" w:line="360" w:lineRule="auto"/>
        <w:ind w:firstLineChars="0"/>
        <w:rPr>
          <w:rFonts w:asciiTheme="minorEastAsia" w:eastAsiaTheme="minorEastAsia" w:hAnsiTheme="minorEastAsia" w:cs="Arial"/>
          <w:bCs/>
          <w:color w:val="000000" w:themeColor="text1"/>
          <w:szCs w:val="21"/>
        </w:rPr>
      </w:pPr>
      <w:bookmarkStart w:id="17" w:name="_Toc81922639"/>
      <w:r w:rsidRPr="00286323">
        <w:rPr>
          <w:rFonts w:asciiTheme="minorEastAsia" w:eastAsiaTheme="minorEastAsia" w:hAnsiTheme="minorEastAsia" w:cs="Arial" w:hint="eastAsia"/>
          <w:bCs/>
          <w:color w:val="000000" w:themeColor="text1"/>
          <w:szCs w:val="21"/>
        </w:rPr>
        <w:lastRenderedPageBreak/>
        <w:t>相关服务机构</w:t>
      </w:r>
      <w:bookmarkEnd w:id="17"/>
    </w:p>
    <w:p w:rsidR="001A7CDB" w:rsidRPr="00286323" w:rsidRDefault="001A7CDB" w:rsidP="00F71D3B">
      <w:pPr>
        <w:pStyle w:val="20"/>
        <w:numPr>
          <w:ilvl w:val="0"/>
          <w:numId w:val="12"/>
        </w:numPr>
        <w:snapToGrid w:val="0"/>
        <w:spacing w:beforeLines="0" w:afterLines="0" w:line="360" w:lineRule="auto"/>
        <w:ind w:firstLineChars="0"/>
        <w:rPr>
          <w:rFonts w:asciiTheme="minorEastAsia" w:eastAsiaTheme="minorEastAsia" w:hAnsiTheme="minorEastAsia" w:cs="Arial"/>
          <w:b w:val="0"/>
          <w:bCs/>
          <w:color w:val="000000" w:themeColor="text1"/>
          <w:szCs w:val="21"/>
        </w:rPr>
      </w:pPr>
      <w:r w:rsidRPr="00286323">
        <w:rPr>
          <w:rFonts w:asciiTheme="minorEastAsia" w:eastAsiaTheme="minorEastAsia" w:hAnsiTheme="minorEastAsia" w:cs="Arial"/>
          <w:b w:val="0"/>
          <w:bCs/>
          <w:color w:val="000000" w:themeColor="text1"/>
          <w:szCs w:val="21"/>
        </w:rPr>
        <w:t>基金份额</w:t>
      </w:r>
      <w:r w:rsidR="00AD3BAC" w:rsidRPr="00286323">
        <w:rPr>
          <w:rFonts w:asciiTheme="minorEastAsia" w:eastAsiaTheme="minorEastAsia" w:hAnsiTheme="minorEastAsia" w:cs="Arial" w:hint="eastAsia"/>
          <w:b w:val="0"/>
          <w:bCs/>
          <w:color w:val="000000" w:themeColor="text1"/>
          <w:szCs w:val="21"/>
        </w:rPr>
        <w:t>销</w:t>
      </w:r>
      <w:r w:rsidR="00AD3BAC" w:rsidRPr="00286323">
        <w:rPr>
          <w:rFonts w:asciiTheme="minorEastAsia" w:eastAsiaTheme="minorEastAsia" w:hAnsiTheme="minorEastAsia" w:cs="Arial"/>
          <w:b w:val="0"/>
          <w:bCs/>
          <w:color w:val="000000" w:themeColor="text1"/>
          <w:szCs w:val="21"/>
        </w:rPr>
        <w:t>售</w:t>
      </w:r>
      <w:r w:rsidRPr="00286323">
        <w:rPr>
          <w:rFonts w:asciiTheme="minorEastAsia" w:eastAsiaTheme="minorEastAsia" w:hAnsiTheme="minorEastAsia" w:cs="Arial"/>
          <w:b w:val="0"/>
          <w:bCs/>
          <w:color w:val="000000" w:themeColor="text1"/>
          <w:szCs w:val="21"/>
        </w:rPr>
        <w:t>机构</w:t>
      </w:r>
    </w:p>
    <w:p w:rsidR="001A7CDB" w:rsidRPr="00286323" w:rsidRDefault="001A7CDB" w:rsidP="00F71D3B">
      <w:pPr>
        <w:snapToGrid w:val="0"/>
        <w:spacing w:line="360" w:lineRule="auto"/>
        <w:ind w:firstLineChars="200" w:firstLine="422"/>
        <w:rPr>
          <w:rFonts w:asciiTheme="minorEastAsia" w:eastAsiaTheme="minorEastAsia" w:hAnsiTheme="minorEastAsia" w:cs="Arial"/>
          <w:b/>
          <w:color w:val="000000" w:themeColor="text1"/>
        </w:rPr>
      </w:pPr>
      <w:r w:rsidRPr="00286323">
        <w:rPr>
          <w:rFonts w:asciiTheme="minorEastAsia" w:eastAsiaTheme="minorEastAsia" w:hAnsiTheme="minorEastAsia" w:cs="Arial" w:hint="eastAsia"/>
          <w:b/>
          <w:color w:val="000000" w:themeColor="text1"/>
        </w:rPr>
        <w:t>1、</w:t>
      </w:r>
      <w:r w:rsidRPr="00286323">
        <w:rPr>
          <w:rFonts w:asciiTheme="minorEastAsia" w:eastAsiaTheme="minorEastAsia" w:hAnsiTheme="minorEastAsia" w:cs="Arial"/>
          <w:b/>
          <w:color w:val="000000" w:themeColor="text1"/>
        </w:rPr>
        <w:t>直销机构</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易方达基金管理有限公司</w:t>
      </w:r>
    </w:p>
    <w:p w:rsidR="0034078B" w:rsidRPr="00286323" w:rsidRDefault="0034078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hint="eastAsia"/>
          <w:color w:val="000000" w:themeColor="text1"/>
        </w:rPr>
        <w:t>注册地址：</w:t>
      </w:r>
      <w:r w:rsidR="00AC6F8E" w:rsidRPr="00286323">
        <w:rPr>
          <w:rFonts w:asciiTheme="minorEastAsia" w:eastAsiaTheme="minorEastAsia" w:hAnsiTheme="minorEastAsia" w:hint="eastAsia"/>
          <w:color w:val="000000" w:themeColor="text1"/>
        </w:rPr>
        <w:t>广东省珠海市横琴新区宝华路6号105室－42891（集中办公区）</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办公地址：</w:t>
      </w:r>
      <w:r w:rsidR="009D2559" w:rsidRPr="00286323">
        <w:rPr>
          <w:rFonts w:asciiTheme="minorEastAsia" w:eastAsiaTheme="minorEastAsia" w:hAnsiTheme="minorEastAsia" w:hint="eastAsia"/>
          <w:color w:val="000000" w:themeColor="text1"/>
        </w:rPr>
        <w:t>广州市天河区珠江新城珠江东路</w:t>
      </w:r>
      <w:r w:rsidR="009D2559" w:rsidRPr="00286323">
        <w:rPr>
          <w:rFonts w:asciiTheme="minorEastAsia" w:eastAsiaTheme="minorEastAsia" w:hAnsiTheme="minorEastAsia"/>
          <w:color w:val="000000" w:themeColor="text1"/>
        </w:rPr>
        <w:t>30</w:t>
      </w:r>
      <w:r w:rsidR="009D2559" w:rsidRPr="00286323">
        <w:rPr>
          <w:rFonts w:asciiTheme="minorEastAsia" w:eastAsiaTheme="minorEastAsia" w:hAnsiTheme="minorEastAsia" w:hint="eastAsia"/>
          <w:color w:val="000000" w:themeColor="text1"/>
        </w:rPr>
        <w:t>号广州银行大厦</w:t>
      </w:r>
      <w:r w:rsidR="009D2559" w:rsidRPr="00286323">
        <w:rPr>
          <w:rFonts w:asciiTheme="minorEastAsia" w:eastAsiaTheme="minorEastAsia" w:hAnsiTheme="minorEastAsia"/>
          <w:color w:val="000000" w:themeColor="text1"/>
        </w:rPr>
        <w:t>40-43</w:t>
      </w:r>
      <w:r w:rsidR="009D2559" w:rsidRPr="00286323">
        <w:rPr>
          <w:rFonts w:asciiTheme="minorEastAsia" w:eastAsiaTheme="minorEastAsia" w:hAnsiTheme="minorEastAsia" w:hint="eastAsia"/>
          <w:color w:val="000000" w:themeColor="text1"/>
        </w:rPr>
        <w:t>楼</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法定代表人：</w:t>
      </w:r>
      <w:r w:rsidR="00D4354E" w:rsidRPr="00286323">
        <w:rPr>
          <w:rFonts w:asciiTheme="minorEastAsia" w:eastAsiaTheme="minorEastAsia" w:hAnsiTheme="minorEastAsia" w:cs="Arial" w:hint="eastAsia"/>
          <w:color w:val="000000" w:themeColor="text1"/>
        </w:rPr>
        <w:t>刘晓艳</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电话：020</w:t>
      </w:r>
      <w:r w:rsidR="001E0F45" w:rsidRPr="00286323">
        <w:rPr>
          <w:rFonts w:asciiTheme="minorEastAsia" w:eastAsiaTheme="minorEastAsia" w:hAnsiTheme="minorEastAsia" w:cs="Arial" w:hint="eastAsia"/>
          <w:color w:val="000000" w:themeColor="text1"/>
        </w:rPr>
        <w:t>-</w:t>
      </w:r>
      <w:r w:rsidRPr="00286323">
        <w:rPr>
          <w:rFonts w:asciiTheme="minorEastAsia" w:eastAsiaTheme="minorEastAsia" w:hAnsiTheme="minorEastAsia" w:cs="Arial" w:hint="eastAsia"/>
          <w:color w:val="000000" w:themeColor="text1"/>
        </w:rPr>
        <w:t>85102506</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传真：4008818099</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olor w:val="000000" w:themeColor="text1"/>
        </w:rPr>
        <w:t>联系人：梁美</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网址：</w:t>
      </w:r>
      <w:r w:rsidR="00C40C61" w:rsidRPr="00286323">
        <w:rPr>
          <w:rFonts w:asciiTheme="minorEastAsia" w:eastAsiaTheme="minorEastAsia" w:hAnsiTheme="minorEastAsia" w:cs="Arial"/>
          <w:color w:val="000000" w:themeColor="text1"/>
        </w:rPr>
        <w:t>www.efunds.com.cn</w:t>
      </w:r>
    </w:p>
    <w:p w:rsidR="00C258EE" w:rsidRPr="00286323" w:rsidRDefault="00C258EE"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直销机构网点信息：</w:t>
      </w:r>
    </w:p>
    <w:p w:rsidR="00C258EE" w:rsidRPr="00286323" w:rsidRDefault="00C258EE"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w:t>
      </w:r>
      <w:r w:rsidRPr="00286323">
        <w:rPr>
          <w:rFonts w:asciiTheme="minorEastAsia" w:eastAsiaTheme="minorEastAsia" w:hAnsiTheme="minorEastAsia"/>
          <w:color w:val="000000" w:themeColor="text1"/>
        </w:rPr>
        <w:t>1</w:t>
      </w:r>
      <w:r w:rsidRPr="00286323">
        <w:rPr>
          <w:rFonts w:asciiTheme="minorEastAsia" w:eastAsiaTheme="minorEastAsia" w:hAnsiTheme="minorEastAsia" w:hint="eastAsia"/>
          <w:color w:val="000000" w:themeColor="text1"/>
        </w:rPr>
        <w:t>）易方达基金管理有限公司广州直销中心</w:t>
      </w:r>
    </w:p>
    <w:p w:rsidR="00C258EE" w:rsidRPr="00286323" w:rsidRDefault="00C258EE"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办公地址：广州市天河区珠江新城珠江东路</w:t>
      </w:r>
      <w:r w:rsidRPr="00286323">
        <w:rPr>
          <w:rFonts w:asciiTheme="minorEastAsia" w:eastAsiaTheme="minorEastAsia" w:hAnsiTheme="minorEastAsia"/>
          <w:color w:val="000000" w:themeColor="text1"/>
        </w:rPr>
        <w:t>30</w:t>
      </w:r>
      <w:r w:rsidRPr="00286323">
        <w:rPr>
          <w:rFonts w:asciiTheme="minorEastAsia" w:eastAsiaTheme="minorEastAsia" w:hAnsiTheme="minorEastAsia" w:hint="eastAsia"/>
          <w:color w:val="000000" w:themeColor="text1"/>
        </w:rPr>
        <w:t>号广州银行大厦</w:t>
      </w:r>
      <w:r w:rsidRPr="00286323">
        <w:rPr>
          <w:rFonts w:asciiTheme="minorEastAsia" w:eastAsiaTheme="minorEastAsia" w:hAnsiTheme="minorEastAsia"/>
          <w:color w:val="000000" w:themeColor="text1"/>
        </w:rPr>
        <w:t>40</w:t>
      </w:r>
      <w:r w:rsidRPr="00286323">
        <w:rPr>
          <w:rFonts w:asciiTheme="minorEastAsia" w:eastAsiaTheme="minorEastAsia" w:hAnsiTheme="minorEastAsia" w:hint="eastAsia"/>
          <w:color w:val="000000" w:themeColor="text1"/>
        </w:rPr>
        <w:t>楼</w:t>
      </w:r>
    </w:p>
    <w:p w:rsidR="00C258EE" w:rsidRPr="00286323" w:rsidRDefault="00C258EE"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电话：</w:t>
      </w:r>
      <w:r w:rsidRPr="00286323">
        <w:rPr>
          <w:rFonts w:asciiTheme="minorEastAsia" w:eastAsiaTheme="minorEastAsia" w:hAnsiTheme="minorEastAsia"/>
          <w:color w:val="000000" w:themeColor="text1"/>
        </w:rPr>
        <w:t>020-85102506</w:t>
      </w:r>
    </w:p>
    <w:p w:rsidR="00C258EE" w:rsidRPr="00286323" w:rsidRDefault="00C258EE"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w:t>
      </w:r>
      <w:r w:rsidRPr="00286323">
        <w:rPr>
          <w:rFonts w:asciiTheme="minorEastAsia" w:eastAsiaTheme="minorEastAsia" w:hAnsiTheme="minorEastAsia"/>
          <w:color w:val="000000" w:themeColor="text1"/>
        </w:rPr>
        <w:t>4008818099</w:t>
      </w:r>
    </w:p>
    <w:p w:rsidR="00C258EE" w:rsidRPr="00286323" w:rsidRDefault="00C258EE"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联系人：梁美</w:t>
      </w:r>
    </w:p>
    <w:p w:rsidR="00C258EE" w:rsidRPr="00286323" w:rsidRDefault="00C258EE"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w:t>
      </w:r>
      <w:r w:rsidRPr="00286323">
        <w:rPr>
          <w:rFonts w:asciiTheme="minorEastAsia" w:eastAsiaTheme="minorEastAsia" w:hAnsiTheme="minorEastAsia"/>
          <w:color w:val="000000" w:themeColor="text1"/>
        </w:rPr>
        <w:t>2</w:t>
      </w:r>
      <w:r w:rsidRPr="00286323">
        <w:rPr>
          <w:rFonts w:asciiTheme="minorEastAsia" w:eastAsiaTheme="minorEastAsia" w:hAnsiTheme="minorEastAsia" w:hint="eastAsia"/>
          <w:color w:val="000000" w:themeColor="text1"/>
        </w:rPr>
        <w:t>）易方达基金管理有限公司北京直销中心</w:t>
      </w:r>
    </w:p>
    <w:p w:rsidR="00C258EE" w:rsidRPr="00286323" w:rsidRDefault="00C258EE"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w:t>
      </w:r>
      <w:r w:rsidR="00635E37" w:rsidRPr="00286323">
        <w:rPr>
          <w:rFonts w:asciiTheme="minorEastAsia" w:eastAsiaTheme="minorEastAsia" w:hAnsiTheme="minorEastAsia" w:hint="eastAsia"/>
          <w:color w:val="000000" w:themeColor="text1"/>
        </w:rPr>
        <w:t>北京市西城区武定侯街2号泰康国际大厦18层</w:t>
      </w:r>
    </w:p>
    <w:p w:rsidR="00C258EE" w:rsidRPr="00286323" w:rsidRDefault="00C258EE"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电话：</w:t>
      </w:r>
      <w:r w:rsidRPr="00286323">
        <w:rPr>
          <w:rFonts w:asciiTheme="minorEastAsia" w:eastAsiaTheme="minorEastAsia" w:hAnsiTheme="minorEastAsia"/>
          <w:color w:val="000000" w:themeColor="text1"/>
        </w:rPr>
        <w:t>010-63213377</w:t>
      </w:r>
    </w:p>
    <w:p w:rsidR="00C258EE" w:rsidRPr="00286323" w:rsidRDefault="00C258EE"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w:t>
      </w:r>
      <w:r w:rsidRPr="00286323">
        <w:rPr>
          <w:rFonts w:asciiTheme="minorEastAsia" w:eastAsiaTheme="minorEastAsia" w:hAnsiTheme="minorEastAsia"/>
          <w:color w:val="000000" w:themeColor="text1"/>
        </w:rPr>
        <w:t>4008818099</w:t>
      </w:r>
    </w:p>
    <w:p w:rsidR="00C258EE" w:rsidRPr="00286323" w:rsidRDefault="00C258EE"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w:t>
      </w:r>
      <w:r w:rsidR="00AF4368" w:rsidRPr="00286323">
        <w:rPr>
          <w:rFonts w:asciiTheme="minorEastAsia" w:eastAsiaTheme="minorEastAsia" w:hAnsiTheme="minorEastAsia" w:hint="eastAsia"/>
          <w:color w:val="000000" w:themeColor="text1"/>
        </w:rPr>
        <w:t>刘蕾</w:t>
      </w:r>
    </w:p>
    <w:p w:rsidR="00C258EE" w:rsidRPr="00286323" w:rsidRDefault="00C258EE"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w:t>
      </w:r>
      <w:r w:rsidRPr="00286323">
        <w:rPr>
          <w:rFonts w:asciiTheme="minorEastAsia" w:eastAsiaTheme="minorEastAsia" w:hAnsiTheme="minorEastAsia"/>
          <w:color w:val="000000" w:themeColor="text1"/>
        </w:rPr>
        <w:t>3</w:t>
      </w:r>
      <w:r w:rsidRPr="00286323">
        <w:rPr>
          <w:rFonts w:asciiTheme="minorEastAsia" w:eastAsiaTheme="minorEastAsia" w:hAnsiTheme="minorEastAsia" w:hint="eastAsia"/>
          <w:color w:val="000000" w:themeColor="text1"/>
        </w:rPr>
        <w:t>）易方达基金管理有限公司上海直销中心</w:t>
      </w:r>
    </w:p>
    <w:p w:rsidR="00C258EE" w:rsidRPr="00286323" w:rsidRDefault="00C258EE"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w:t>
      </w:r>
      <w:r w:rsidR="001531E0" w:rsidRPr="00286323">
        <w:rPr>
          <w:rFonts w:asciiTheme="minorEastAsia" w:eastAsiaTheme="minorEastAsia" w:hAnsiTheme="minorEastAsia" w:hint="eastAsia"/>
          <w:color w:val="000000" w:themeColor="text1"/>
        </w:rPr>
        <w:t>上海市浦东新区世纪大道</w:t>
      </w:r>
      <w:r w:rsidR="001531E0" w:rsidRPr="00286323">
        <w:rPr>
          <w:rFonts w:asciiTheme="minorEastAsia" w:eastAsiaTheme="minorEastAsia" w:hAnsiTheme="minorEastAsia"/>
          <w:color w:val="000000" w:themeColor="text1"/>
        </w:rPr>
        <w:t>88</w:t>
      </w:r>
      <w:r w:rsidR="001531E0" w:rsidRPr="00286323">
        <w:rPr>
          <w:rFonts w:asciiTheme="minorEastAsia" w:eastAsiaTheme="minorEastAsia" w:hAnsiTheme="minorEastAsia" w:hint="eastAsia"/>
          <w:color w:val="000000" w:themeColor="text1"/>
        </w:rPr>
        <w:t>号金茂大厦</w:t>
      </w:r>
      <w:r w:rsidR="001531E0" w:rsidRPr="00286323">
        <w:rPr>
          <w:rFonts w:asciiTheme="minorEastAsia" w:eastAsiaTheme="minorEastAsia" w:hAnsiTheme="minorEastAsia"/>
          <w:color w:val="000000" w:themeColor="text1"/>
        </w:rPr>
        <w:t>46</w:t>
      </w:r>
      <w:r w:rsidR="001531E0" w:rsidRPr="00286323">
        <w:rPr>
          <w:rFonts w:asciiTheme="minorEastAsia" w:eastAsiaTheme="minorEastAsia" w:hAnsiTheme="minorEastAsia" w:hint="eastAsia"/>
          <w:color w:val="000000" w:themeColor="text1"/>
        </w:rPr>
        <w:t>楼</w:t>
      </w:r>
    </w:p>
    <w:p w:rsidR="00C258EE" w:rsidRPr="00286323" w:rsidRDefault="00C258EE"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电话：</w:t>
      </w:r>
      <w:r w:rsidRPr="00286323">
        <w:rPr>
          <w:rFonts w:asciiTheme="minorEastAsia" w:eastAsiaTheme="minorEastAsia" w:hAnsiTheme="minorEastAsia"/>
          <w:color w:val="000000" w:themeColor="text1"/>
        </w:rPr>
        <w:t>021-50476668</w:t>
      </w:r>
    </w:p>
    <w:p w:rsidR="00C258EE" w:rsidRPr="00286323" w:rsidRDefault="00C258EE"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w:t>
      </w:r>
      <w:r w:rsidRPr="00286323">
        <w:rPr>
          <w:rFonts w:asciiTheme="minorEastAsia" w:eastAsiaTheme="minorEastAsia" w:hAnsiTheme="minorEastAsia"/>
          <w:color w:val="000000" w:themeColor="text1"/>
        </w:rPr>
        <w:t>4008818099</w:t>
      </w:r>
    </w:p>
    <w:p w:rsidR="00C258EE" w:rsidRPr="00286323" w:rsidRDefault="00C258EE"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联系人：王程</w:t>
      </w:r>
    </w:p>
    <w:p w:rsidR="00C258EE" w:rsidRPr="00286323" w:rsidRDefault="00C258EE"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w:t>
      </w:r>
      <w:r w:rsidRPr="00286323">
        <w:rPr>
          <w:rFonts w:asciiTheme="minorEastAsia" w:eastAsiaTheme="minorEastAsia" w:hAnsiTheme="minorEastAsia"/>
          <w:color w:val="000000" w:themeColor="text1"/>
        </w:rPr>
        <w:t>4</w:t>
      </w:r>
      <w:r w:rsidRPr="00286323">
        <w:rPr>
          <w:rFonts w:asciiTheme="minorEastAsia" w:eastAsiaTheme="minorEastAsia" w:hAnsiTheme="minorEastAsia" w:hint="eastAsia"/>
          <w:color w:val="000000" w:themeColor="text1"/>
        </w:rPr>
        <w:t>）易方达基金管理有限公司网上交易系统</w:t>
      </w:r>
    </w:p>
    <w:p w:rsidR="001A7CDB" w:rsidRPr="00286323" w:rsidRDefault="00C258EE"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t>
      </w:r>
      <w:r w:rsidRPr="00286323">
        <w:rPr>
          <w:rFonts w:asciiTheme="minorEastAsia" w:eastAsiaTheme="minorEastAsia" w:hAnsiTheme="minorEastAsia"/>
          <w:color w:val="000000" w:themeColor="text1"/>
        </w:rPr>
        <w:t>www.efunds.com.cn</w:t>
      </w:r>
    </w:p>
    <w:p w:rsidR="001A7CDB" w:rsidRPr="00286323" w:rsidRDefault="001A7CDB" w:rsidP="00F71D3B">
      <w:pPr>
        <w:snapToGrid w:val="0"/>
        <w:spacing w:line="360" w:lineRule="auto"/>
        <w:ind w:firstLineChars="200" w:firstLine="422"/>
        <w:rPr>
          <w:rFonts w:asciiTheme="minorEastAsia" w:eastAsiaTheme="minorEastAsia" w:hAnsiTheme="minorEastAsia" w:cs="Arial"/>
          <w:b/>
          <w:color w:val="000000" w:themeColor="text1"/>
        </w:rPr>
      </w:pPr>
      <w:r w:rsidRPr="00286323">
        <w:rPr>
          <w:rFonts w:asciiTheme="minorEastAsia" w:eastAsiaTheme="minorEastAsia" w:hAnsiTheme="minorEastAsia" w:cs="Arial" w:hint="eastAsia"/>
          <w:b/>
          <w:color w:val="000000" w:themeColor="text1"/>
        </w:rPr>
        <w:t>2、</w:t>
      </w:r>
      <w:r w:rsidR="001940B3" w:rsidRPr="00286323">
        <w:rPr>
          <w:rFonts w:asciiTheme="minorEastAsia" w:eastAsiaTheme="minorEastAsia" w:hAnsiTheme="minorEastAsia" w:cs="Arial" w:hint="eastAsia"/>
          <w:b/>
          <w:color w:val="000000" w:themeColor="text1"/>
        </w:rPr>
        <w:t>非直销销售</w:t>
      </w:r>
      <w:r w:rsidRPr="00286323">
        <w:rPr>
          <w:rFonts w:asciiTheme="minorEastAsia" w:eastAsiaTheme="minorEastAsia" w:hAnsiTheme="minorEastAsia" w:cs="Arial"/>
          <w:b/>
          <w:color w:val="000000" w:themeColor="text1"/>
        </w:rPr>
        <w:t>机构</w:t>
      </w:r>
      <w:r w:rsidR="0034078B" w:rsidRPr="00286323">
        <w:rPr>
          <w:rFonts w:asciiTheme="minorEastAsia" w:eastAsiaTheme="minorEastAsia" w:hAnsiTheme="minorEastAsia" w:hint="eastAsia"/>
          <w:b/>
          <w:color w:val="000000" w:themeColor="text1"/>
        </w:rPr>
        <w:t>（以下排序不分先后）</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(1)中国建设银行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注册地址:北京市西城区金融大街25号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办公地址:北京市西城区闹市口大街1号院1号楼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法定代表人:田国立</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联系人:王未雨</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客户服务电话:95533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网址:www.ccb.com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(2)渤海银行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注册地址:天津市河东区海河东路218号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办公地址:天津市河东区海河东路218号渤海银行大厦</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法定代表人:李伏安</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联系人:王宏</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联系电话:022-58316666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客户服务电话:95541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传真:022-58316569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网址:www.cbhb.com.cn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(3)广发银行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注册地址:广东省广州市越秀区东风东路713号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办公地址:广东省广州市越秀区东风东路713号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法定代表人:尹兆君</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客户服务电话:400-830-8003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网址:www.cgbchina.com.cn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(4)交通银行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注册地址:中国（上海）自由贸易试验区银城中路188号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办公地址:中国（上海）自由贸易试验区银城中路188号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法定代表人:任德奇</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联系人:高天</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联系电话:021-58781234</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客户服务电话:95559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网址:www.bankcomm.com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(5)浦发银行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注册地址:上海市中山东一路12号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办公地址:上海市中山东一路12号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法定代表人:郑杨</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联系人:赵守良</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联系电话:021-61618888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客户服务电话:95528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传真:021-63604196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网址:www.spdb.com.cn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(6)兴业银行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注册地址:福州市湖东路154号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办公地址:上海市银城路167号兴业银行大厦</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法定代表人:陶以平（代为履行法定代表人职权）</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联系人:孙琪虹</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客户服务电话:95561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网址:www.cib.com.cn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(7)招商银行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注册地址:深圳市福田区深南大道7088号招商银行大厦</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办公地址:深圳市福田区深南大道7088号招商银行大厦</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法定代表人:缪建民</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联系人:季平伟</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客户服务电话:95555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网址:www.cmbchina.com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(8)浙商银行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注册地址:浙江省杭州市萧山区鸿宁路1788号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办公地址:浙江杭州市庆春路288号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法定代表人:沈仁康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联系人:沈崟杰</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联系电话:0571- 88261822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客户服务电话:95527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传真:0571-87659954</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网址:www.czbank.com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(9)中国工商银行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注册地址:北京西城区复兴门内大街55号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办公地址:北京西城区复兴门内大街55号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法定代表人:陈四清</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联系人:杨菲</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客户服务电话:95588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网址:www.icbc.com.cn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(10)中国民生银行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注册地址:北京市西城区复兴门内大街2号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办公地址:北京市西城区复兴门内大街2号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法定代表人:高迎欣</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联系人:徐野</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客户服务电话:95568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网址:www.cmbc.com.cn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(11)中国农业银行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注册地址:北京市东城区建国门内大街69号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办公地址:北京市东城区建国门内大街69号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法定代表人:谷澍</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联系人:李紫钰</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客户服务电话:95599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传真:010-85109219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网址:www.abchina.com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(12)中国邮政储蓄银行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注册地址:北京市西城区金融大街3号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办公地址:北京市西城区金融大街3号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法定代表人:张金良</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联系人:王硕</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客户服务电话:95580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传真:010-68858057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网址:www.psbc.com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(13)北京银行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注册地址:北京市西城区金融大街甲17号首层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办公地址:北京市西城区金融大街丙17号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法定代表人:张东宁</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联系人:周黎</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客户服务电话:95526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网址:www.bankofbeijing.com.cn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(14)长安银行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注册地址:西安市高新技术产业开发区高新四路13号1幢1单元10101室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办公地址:西安市高新技术产业开发区高新四路13号朗臣大厦</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法定代表人:赵永军</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联系人:闫石</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客户服务电话:400-05-96669；（029）96669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传真:029-88609566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网址:http://www.ccabchina.com/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(15)大连银行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注册地址:大连市中山区中山路88号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办公地址:大连市中山区中山路88号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法定代表人:彭寿斌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联系人:卜书慧</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联系电话:0411-82311936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客户服务电话:400-664-0099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网址:www.bankofdl.com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(16)德州银行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注册地址:山东省德州市三八东路1266号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办公地址:山东省德州市三八东路1266号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法定代表人:董合平</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联系人:王方震</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联系电话:0534-2297326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客户服务电话:400-01-96588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网址:www.dzbchina.com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(17)东莞银行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注册地址:东莞市莞城区体育路21号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办公地址:东莞市莞城区体育路21号东莞银行大厦</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法定代表人:卢国锋</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联系人:朱杰霞</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联系电话:0769-22865177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客户服务电话:956033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网址:www.dongguanbank.cn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(18)福建海峡银行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注册地址:福建省福州市台江区江滨中大道358号海峡银行大厦</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办公地址:福建省福州市台江区江滨中大道358号福建海峡银行8楼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法定代表人:俞敏</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联系人:黄晶</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联系电话:0591-87385069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客户服务电话:400-893-9999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传真:0591-87330926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网址:www.fjhxbank.com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(19)富滇银行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注册地址:云南省昆明市拓东路41号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办公地址:云南省昆明市拓东路41号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法定代表人:洪维智</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联系人:杨翊琳</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联系电话:0871-63140324</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客户服务电话:400-88-96533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传真:0871-63194471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网址:http://www.fudian-bank.com/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(20)广东华兴银行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注册地址:广东省汕头市龙湖区黄山路28号四层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办公地址:广州市天河区天河路533号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法定代表人:周泽荣</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联系人:许悦</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联系电话:020-38173552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客户服务电话:95091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传真:020-38173857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网址:www.ghbank.com.cn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(21)广东南粤银行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注册地址:湛江经济技术开发区乐山路27号财富汇金融中心1层01、02号商铺、2层01号商铺、3层01号商铺、39-45层办公室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办公地址:湛江经济技术开发区乐山路27号财富汇金融中心1层01、02号商铺、2层01号商铺、3层01号商铺、39-45层办公室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法定代表人:蒋丹</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联系人:陈静</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联系电话:020-28308757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客户服务电话:4000-961818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网址:www.gdnybank.com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(22)贵阳银行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注册地址:贵州省贵阳市观山湖区长岭北路中天会展城B区金融商务区东区1-6栋</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办公地址:贵州省贵阳市中华北路77号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法定代表人:张正海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联系人:何西</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联系电话:0851-86858673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客户服务电话:40011-96033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传真:0851-86858673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网址:http://www.96033.cn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(23)哈尔滨银行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注册地址:哈尔滨市道里区尚志大街160号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办公地址:哈尔滨市道里区上江街888号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法定代表人:郭志文</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联系人:贾琳娜</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联系电话:0451-86779669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客户服务电话:95537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传真:0451-87792682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网址:www.hrbb.com.cn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(24)海南银行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注册地址:海南省海口市龙华区海秀东路31号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办公地址:海南省海口市龙华区海秀东路31号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法定代表人:王年生</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客户服务电话:0898-96566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网址:www.hnbankchina.com.cn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(25)杭州银行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注册地址:浙江省杭州市下城区庆春路46号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办公地址:杭州市下城区庆春路46号杭州银行大厦</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法定代表人:陈震山</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联系人:蒋梦君</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联系电话:0571-85120718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客户服务电话:95398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传真:0571-85106576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网址:www.hzbank.com.cn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(26)河北银行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注册地址:石家庄市平安北大街28号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办公地址:石家庄市平安北大街28号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法定代表人:梅爱斌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联系人:李博</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联系电话:0311-88627587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客户服务电话:400-612-9999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传真:0311-67806407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网址:www.hebbank.com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(27)吉林银行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注册地址:吉林省长春市经济技术开发区东南湖大路1817号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办公地址:吉林省长春市经济技术开发区东南湖大路1817号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法定代表人:陈宇龙</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联系人:孙琦</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联系电话:0431-84999627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客户服务电话:400-88-96666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传真:0431-84992649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网址:www.jlbank.com.cn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(28)嘉兴银行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注册地址:浙江省嘉兴市昌盛南路1001号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办公地址:浙江省嘉兴市昌盛南路1001号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法定代表人:夏林生</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联系人:余舟</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联系电话:0573-82080201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客户服务电话:0573-96528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网址:http://www.bojx.com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(29)江苏银行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注册地址:南京市中华路26号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办公地址:南京市中华路26号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法定代表人:夏平</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联系人:展海军</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联系电话:025-58587039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客户服务电话:95319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传真:025-58587820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网址:www.jsbchina.cn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(30)江西银行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注册地址:江西省南昌市红谷滩新区金融大街699号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办公地址:江西省南昌市红谷滩新区金融大街699号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法定代表人:陈晓明</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联系人:陈云波</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联系电话:0791-86796029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客户服务电话:956055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传真:0791-86790795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网址:www.jx-bank.com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(31)金华银行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注册地址:浙江省金华市丹溪路1388号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办公地址:浙江省金华市金东区光南路668号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法定代表人:徐雅清</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联系人:何赛丽、陈霞</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联系电话:0579-82178270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客户服务电话:400-711-6668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传真:0579-82178321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网址:www.jhccb.com.cn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(32)锦州银行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注册地址:辽宁省锦州市科技路68号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办公地址:辽宁省锦州市科技路68号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法定代表人:魏学坤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联系人:庞璐璐</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客户服务电话:400-66-96178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网址:www.jinzhoubank.com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(33)昆仑银行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注册地址:新疆克拉玛依市世纪大道7号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办公地址:北京市西城区金融大街1号B座</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法定代表人:蒋尚军</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联系人:张碧华</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联系电话:010-89026813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客户服务电话:95379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传真:010-89025421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网址:www.klb.cn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(34)兰州银行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注册地址:甘肃省兰州市城关区酒泉路211号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办公地址:甘肃省兰州市城关区酒泉路211号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法定代表人:许建平</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联系人:鱼倩、任星儒</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联系电话:0931-4600528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客户服务电话:400-88-96799（全国）、96799（甘肃省内）</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网址:https://www.lzbank.com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(35)龙江银行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注册地址:黑龙江省哈尔滨市道里区友谊路436号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办公地址:黑龙江省哈尔滨市道里区友谊路436号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法定代表人:张建辉</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联系人:闫勇</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联系电话:0451-85706107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客户服务电话:400-645-8888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传真:0451-85706036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网址:http://www.lj-bank.com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(36)洛阳银行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注册地址:洛阳市洛阳新区开元大道与通济街交叉口</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办公地址:河南省洛阳市开元大道256号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法定代表人:王建甫</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联系人:郭文博</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联系电话:0379-65921977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客户服务电话:0379-96699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传真:0379-65938595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网址:www.bankofluoyang.com.cn/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(37)宁波银行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注册地址:浙江省宁波市鄞州区宁东路345号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办公地址:浙江省宁波市鄞州区宁东路345号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法定代表人:陆华裕</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联系人:陈佳瑜</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客户服务电话:95574</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网址:www.nbcb.com.cn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(38)齐商银行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注册地址:淄博市张店区中心路105号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办公地址:山东省淄博市张店区金晶大道105号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法定代表人:李大鹏</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联系人:焦浦</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联系电话:0533-2178888-9907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客户服务电话:400-86-96588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传真:0533-2180303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网址:www.qsbank.cc</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(39)青岛银行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注册地址:山东省青岛市崂山区秦岭路6号3号楼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办公地址:山东省青岛市崂山区秦岭路6号3号楼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法定代表人:郭少泉</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联系人:陈界交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联系电话:0532-68629956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客户服务电话:96588（青岛）400-66-96588（全国）</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网址:http://www.qdccb.com/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(40)青海银行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注册地址:青海省西宁市城西区西关大街130号1号楼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办公地址:青海省西宁市黄河路36号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法定代表人:李锦军</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联系人:李万芳</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联系电话:0971-6111792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客户服务电话:0971-96399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传真:0971-6111792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网址:www.bankqh.com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(41)泉州银行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注册地址:泉州市丰泽区泉泰路266号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办公地址:泉州市丰泽区泉泰路266号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法定代表人:傅子能</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联系人:董培姗</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联系电话:0595-22551071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客户服务电话:400-88-96312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传真:0595-22578871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网址:http://www.qzccbank.com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(42)日照银行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注册地址:山东省日照市烟台路197号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办公地址:山东省日照市烟台路197号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法定代表人:王森</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联系人:邱丽萍</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联系电话:0633-8081619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客户服务电话:400-68-96588（全国） 、0633-96588（日照）</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传真:0633-8081276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网址:http://www.bankofrizhao.com.cn/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(43)上海银行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注册地址:中国（上海）自由贸易试验区银城中路168号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办公地址:上海市浦东新区银城中路168号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法定代表人:金煜</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客户服务电话:95594</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网址:http://www.bosc.cn/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(44)四川天府银行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注册地址:四川省南充市涪江路1号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办公地址:四川省成都市锦江区东大街下东大街258号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法定代表人:邢敏</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联系人:周乃雍</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联系电话:028-67676038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客户服务电话:400-16-96869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网址:www.tf.cn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(45)苏州银行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注册地址:江苏省苏州市工业园区钟园路728号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办公地址:江苏省苏州市工业园区钟园路728号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法定代表人:王兰凤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联系人:吴骏</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联系电话:0512-69868373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客户服务电话:96067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传真:0512-69868373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网址:www.suzhoubank.com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(46)天津银行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注册地址:天津市河西区友谊路15号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办公地址:天津市河西区友谊路15号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法定代表人:李宗唐</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联系人:李岩</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联系电话:022-28405684</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客户服务电话:956056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传真:022-28405631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网址:www.bank-of-tianjin.com.cn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(47)威海市商业银行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注册地址:威海市宝泉路9号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办公地址:威海市宝泉路9号财政大厦</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法定代表人:谭先国</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联系人:冯十卉</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联系电话:0531-68978175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客户服务电话:山东省内96636、中国境内40000-96636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传真:0531-68978176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网址:www.whccb.com，www.whccb.com.cn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(48)潍坊银行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注册地址:山东省潍坊市奎文区胜利东街5139号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办公地址:山东省潍坊市奎文区胜利东街5139号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法定代表人:郭虎英</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联系人:井靖</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联系电话:0536-8051904</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客户服务电话:400-61-96588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传真:0536-8056061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网址:www.wfccb.com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(49)西安银行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注册地址:西安市高新路60号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办公地址:西安市高新路60号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法定代表人:郭军</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联系人:白智</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联系电话:029-88992881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客户服务电话:40086-96779（全国）、96779（陕西）</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网址:www.xacbank.com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(50)烟台银行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注册地址:山东省烟台市芝罘区海港路25号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办公地址:山东省烟台市芝罘区海港路25号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法定代表人:吴明理</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联系人:张卓智</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联系电话:0535-6699671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客户服务电话:4008-311-777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传真:0535-6699884</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网址:www.yantaibank.net</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(51)营口银行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注册地址:辽宁省营口市站前区市府路北1号、北3号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办公地址:辽宁省营口市站前区市府路北1号、北3号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法定代表人:周宇</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联系人:杨志程</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联系电话:0417-2878819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客户服务电话:40078-96178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网址:www.bankofyk.com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(52)云南红塔银行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注册地址:云南省玉溪市东风南路2号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办公地址:云南省昆明市盘龙区世博路低碳中心A座</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法定代表人:李光林</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联系人:马杰</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联系电话:0871-65236624</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客户服务电话:0877-96522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网址:www.ynhtbank.com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(53)浙江稠州商业银行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注册地址:浙江省义乌市江滨路义乌乐园东侧</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办公地址:杭州市上城区望潮路158号稠银大厦</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法定代表人:金子军</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联系人:谢圆圆</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联系电话:0571-87117661/13777805250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客户服务电话:0571-96527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传真:0571—87117607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网址:http://www.czcb.com.cn/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(54)浙江泰隆商业银行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注册地址:浙江省台州市路桥区南官大道188号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办公地址:浙江省台州市路桥区南官大道188号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法定代表人:王钧</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联系人:陈妍宇</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联系电话:0571-87219677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客户服务电话:95347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网址:www.zjtlcb.com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(55)中原银行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注册地址:河南省郑州市郑东新区CBD商务外环路23号中科金座大厦</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办公地址:河南省郑州市郑东新区CBD商务外环路23号中科金座大厦</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法定代表人:窦荣兴</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联系人:张辉</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联系电话:0371-61910217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客户服务电话:95186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网址:www.zybank.com.cn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(56)重庆银行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注册地址:重庆市江北区永平门街6号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办公地址:重庆市江北区永平门街6号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法定代表人:林军</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联系人:李俊锋</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联系电话:023-63367180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客户服务电话:96899，4007096899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网址:www.cqcbank.com.cn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(57)珠海华润银行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注册地址:广东省珠海市吉大九洲大道东1346号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办公地址:广东省珠海市吉大九洲大道东1346号珠海华润银行大厦</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法定代表人:刘晓勇</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联系人:李阳</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联系电话:4008800338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客户服务电话:96588（广东省外请加拨0756），400-8800-338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网址:www.crbank.com.cn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(58)北京农商银行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注册地址:北京市西城区月坛南街1号院2号楼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办公地址:北京市西城区月坛南街1号院2号楼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法定代表人:王金山</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联系人:鲁娟</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联系电话:010-89198762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客户服务电话:96198（北京）、400-66-96198（全国）</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网址:www.bjrcb.com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(59)东莞农村商业银行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注册地址:广东省东莞市东城区鸿福东路2号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办公地址:广东省东莞市东城区鸿福东路2号东莞农商银行大厦</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法定代表人:王耀球</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联系人:钟燕珊</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客户服务电话:0769-961122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网址:www.drcbank.com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(60)佛山农商银行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注册地址:佛山市禅城区华远东路5号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办公地址:佛山市禅城区华远东路5号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法定代表人:李川</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联系人:陈棠熙</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客户服务电话:96138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网址:www.foshanbank.cn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(61)富阳农商银行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注册地址:杭州市富阳区鹿山街道依江路501号第1幢</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办公地址:杭州市富阳区鹿山街道依江路501号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法定代表人:丁松茂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联系人:陈硕</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联系电话:0571-63280253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客户服务电话:96596、4008896596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网址:www.fyrcbk.com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(62)广州农商银行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注册地址:广州市黄埔区映日路9号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办公地址:广州市天河区珠江新城华夏路1号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法定代表人:王继康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联系人:刘强</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联系电话:020-22389067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客户服务电话:95313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传真:020-22389031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网址:www.grcbank.com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(63)杭州联合银行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注册地址:浙江省杭州市上城区建国中路99号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办公地址:杭州市建国中路99号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法定代表人:张海林</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联系人:吴徐立</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联系电话:0571-87923324</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客户服务电话:96596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传真:0571-87923214</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网址:www.urcb.com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(64)江南农村商业银行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注册地址:常州市武进区延政中路9号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办公地址:常州市武进区延政中路9号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法定代表人:陆向阳</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联系人:李仙</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联系电话:0519-80585939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客户服务电话:0519-96005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传真:0519-89995170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网址:http://www.jnbank.com.cn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(65)九台农商银行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注册地址:吉林省长春市九台区新华大街504号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办公地址:吉林省长春市高新开发区蔚山路2559号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法定代表人:高兵</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联系人:曲凌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客户服务电话:0431-96888-0-2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网址:http://www.jtnsh.com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(66)昆山农村商业银行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注册地址:江苏省昆山市前进东路828号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办公地址:江苏省昆山市前进东路828号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法定代表人:谢铁军</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联系人:黄怡</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客户服务电话:0512-96079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网址:www.ksrcb.com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(67)乐清农商银行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注册地址:浙江省乐清市城南街道伯乐西路99号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办公地址:浙江省乐清市城南街道伯乐西路99号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法定代表人:高剑飞</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联系人:金晓娇</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联系电话:0577-61566028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客户服务电话:4008896596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传真:0577-61566063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(68)临海农商银行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注册地址:浙江省临海市古城街道巾山中路2号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办公地址:浙江省临海市古城街道巾山中路2号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法定代表人:王晔玮</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联系人:王艳</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联系电话:0576-85317606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客户服务电话:4008896596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传真:0576-85317599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网址:http://www.lhrcb.com/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(69)龙湾农商银行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注册地址:浙江省温州市龙湾区永中街道永宁西路555号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办公地址:浙江省温州市龙湾区永中街道永宁西路555号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法定代表人:朱朋远</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联系人:胡俊杰</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联系电话:0577-86923223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客户服务电话:4008296596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传真:0577-86921250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网址:www.lwrcb.com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(70)鹿城农商银行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注册地址:浙江省温州市鹿城区会展路1500号富银大厦</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办公地址:温州市车站大道547号信合大厦A幢</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法定代表人:陈宏强</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联系人:董雷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联系电话:0577-88077675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客户服务电话:96526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网址:http://www.lcrcbank.com/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(71)南海农商银行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注册地址:广东省佛山市南海区桂城街道南海大道北26号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办公地址:广东省佛山市南海区桂城街道南海大道北26号农商银行大厦</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法定代表人:李宜心</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联系人:廖雪</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联系电话:0757-86266566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客户服务电话:96138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传真:0757-86250627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网址:www.nanhaibank.com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(72)瑞安农商银行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注册地址:瑞安市安阳街道万松东路148号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办公地址:瑞安市安阳街道万松东路148号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法定代表人:王光领</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联系人:吴小娜</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联系电话:0577-66681245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客户服务电话:4008057702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(73)瑞丰银行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注册地址:浙江省绍兴市柯桥区笛扬路1363号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办公地址:浙江省绍兴市柯桥区笛扬路1363号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法定代表人:章伟东</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联系人:孟建潮</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联系电话:0575-81105323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客户服务电话:400-88-96596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传真:0575-84788134</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网址:www.borf.cn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(74)上海农村商业银行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注册地址:上海市黄浦区中山东二路70号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办公地址:上海市黄浦区中山东二路70号上海农商银行大厦</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法定代表人:徐力</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联系人:施传荣</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联系电话:021-61899999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客户服务电话:021-962999、 4006962999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网址:www.srcb.com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(75)深圳农村商业银行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注册地址:深圳市宝安区新安街道海旺社区海秀路2028号农商银行大厦</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办公地址:深圳市罗湖区深南东路3038号合作金融大厦</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法定代表人:李光安</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联系人:陈泽鑫</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联系电话:0755-25188271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客户服务电话:4001961200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网址:http://www.4001961200.com/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(76)顺德农村商业银行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注册地址:广东佛山市顺德区大良德和居委会拥翠路2号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办公地址:广东佛山市顺德区大良德和居委会拥翠路2号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法定代表人:姚真勇</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联系人:杨素苗、区敏欣</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联系电话:0757-22382524</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客户服务电话:0757-22223388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传真:0757-22388777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网址:www.sdebank.com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(77)苏州农村商业银行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注册地址:江苏省苏州市吴江区中山南路1777号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办公地址:江苏省苏州市吴江区中山南路1777号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法定代表人:徐晓军</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联系人:葛晓亮</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联系电话:0512-63969209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客户服务电话:956111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传真:0512-63969209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网址:www.szrcb.com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(78)武汉农村商业银行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注册地址:湖北省武汉市江岸区建设大道618号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办公地址:湖北省武汉市江岸区建设大道618号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法定代表人:徐小建</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联系人:邹君</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联系电话:027-85497270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客户服务电话:95367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传真:027-85497270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网址:http://www.whrcbank.com/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(79)萧山农商银行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注册地址:浙江省人民路258号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办公地址:浙江省杭州市萧山区人民路258号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法定代表人:王云龙</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联系人:朱光锋</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联系电话:0571-82739513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客户服务电话:96596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网址:http://www.zjxsbank.com/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(80)新昌农商银行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注册地址:浙江省绍兴市新昌县七星街道七星路18号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办公地址:浙江省绍兴市新昌县七星街道七星路18号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法定代表人:陆斌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联系人:陈春华</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联系电话:0575-86266991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客户服务电话:4008896596、0575-86266928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传真:0575-86383121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网址:http://xcbank.com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(81)余杭农村商业银行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注册地址:杭州市余杭区南苑街道南大街72号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办公地址:杭州市余杭区南苑街道南大街72号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法定代表人:来煜标</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联系人:蔡亮</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联系电话:0571-86209980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客户服务电话:96596，4008896596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网址:www.yhrcb.com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(82)重庆农村商业银行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注册地址:重庆市江北区金沙门路36号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办公地址:重庆市江北区金沙门路36号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法定代表人:刘建忠</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联系人:范亮</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联系电话:023-61110146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客户服务电话:95389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传真:023-61110146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网址:www.cqrcb.com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(83)鄞州银行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注册地址:宁波市鄞州区民惠西路88号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办公地址:宁波市鄞州区民惠西路88号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法定代表人:周建斌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联系人:朱霓虹</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联系电话:0574-87412569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客户服务电话:956058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网址:www.beeb.com.cn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(84)南洋商业银行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注册地址:中国（上海）自由贸易试验区世纪大道800号三层、六层至九层（不含六层A座）</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办公地址:中国（上海）自由贸易试验区世纪大道800号三层、六层至九层（不含六层A座）</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法定代表人:孙建东</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联系人:施艳</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联系电话:021-38566625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客户服务电话:8008207898（内地固话用户）、4008207898（内地手机用户）、（86551）64360499（港澳台及境外）</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传真:021-38566400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网址:http://www.ncbchina.cn/cn/index.html</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(85)安信证券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注册地址:深圳市福田区金田路4018号安联大厦35层、28层A02单元</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办公地址:深圳市福田区金田路4018号安联大厦35层、28层A02单元      深圳市福田区深南大道2008号中国凤凰大厦1栋9层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法定代表人:黄炎勋</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联系人:陈剑虹</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联系电话:0755-82825551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客户服务电话:95517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传真:0755-82558355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网址:www.essence.com.cn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(86)渤海证券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注册地址:天津市经济技术开发区第二大街42号写字楼101室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办公地址:天津市南开区宾水西道8号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法定代表人:安志勇</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联系人:王星</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联系电话:022-28451922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客户服务电话:400-651-5988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传真:022-28451892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网址:www.ewww.com.cn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(87)财达证券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注册地址:河北省石家庄市桥西区自强路35号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办公地址:河北省石家庄市桥西区自强路35号庄家金融大厦23-26层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法定代表人:翟建强</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联系人:李卓颖</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联系电话:0311-66008561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客户服务电话:95363（河北省内）；0311-95363（河北省外）</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传真:0311-66006414</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网址:www.s10000.com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(88)财通证券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注册地址:浙江省杭州市西湖区天目山路198号财通双冠大厦西楼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办公地址:浙江省杭州市西湖区天目山路198号财通双冠大厦西楼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法定代表人:陆建强</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联系人:蔡驰宙</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联系电话:0571-87821867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客户服务电话:95336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网址:www.ctsec.com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(89)财信证券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注册地址:湖南省长沙市岳麓区茶子山东路112号滨江金融中心T3、T4及裙房718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办公地址:长沙市芙蓉中路二段80号顺天国际财富中心26-28层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法定代表人:刘宛晨</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联系人:郭静</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联系电话:0731-84403347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客户服务电话:95317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传真:0731-84403439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网址:www.cfzq.com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(90)长城国瑞证券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注册地址:厦门市思明区莲前西路2号莲富大厦17楼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办公地址:厦门市思明区深田路46号深田国际大厦20楼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法定代表人:王勇</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联系人:布前</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联系电话:010-68085771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客户服务电话:400-0099-886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传真:0592-2079602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网址:www.gwgsc.com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(91)长城证券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注册地址:深圳市福田区福田街道金田路2026号能源大厦南塔楼10-19层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办公地址:深圳市福田区福田街道金田路2026号能源大厦南塔楼10-19层长城证券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法定代表人:张巍</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联系人:梁浩</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联系电话:0755-83530715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客户服务电话:400-6666-888或95514</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传真:0755-83515567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网址:www.cgws.com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(92)长江证券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注册地址:湖北省武汉市新华路特8号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办公地址:湖北省武汉市新华路特8号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法定代表人:李新华</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联系人:奚博宇</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联系电话:027-65799999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客户服务电话:95579或4008-888-999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传真:027-85481900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网址:www.95579.com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(93)川财证券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注册地址:中国（四川）自由贸易试验区成都高新区交子大道177号中海国际中心B座17楼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办公地址:四川省成都高新区交子大道177号中海国际中心B座17楼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法定代表人:金树成</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联系人:匡婷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联系电话:028-86583053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客户服务电话:028-962708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网址:www.cczq.com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(94)大通证券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注册地址:辽宁省大连市沙河口区会展路129号大连国际金融中心A座-大连期货大厦38、39层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办公地址:辽宁省大连市沙河口区会展路129号大连国际金融中心A座-大连期货大厦38、39层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法定代表人:赵玺</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联系人:谢立军</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联系电话:0411-39991807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客户服务电话:4008-169-169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传真:0411-39673214</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网址:www.daton.com.cn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(95)大同证券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注册地址:山西省大同市城区迎宾街15号桐城中央21层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办公地址:山西省太原市小店区长治路111号山西世贸中心A座F12、F13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法定代表人:董祥</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联系人:薛津</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联系电话:0351-4130322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客户服务电话:4007121212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传真:0351-7219891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网址:www.dtsbc.com.cn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(96)德邦证券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注册地址:上海市普陀区曹杨路510号南半幢9楼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办公地址:上海市福山路500号城建国际中心29楼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法定代表人:武晓春</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联系人:李林</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联系电话:021-68761616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客户服务电话:400-8888-128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传真:021-68767880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网址:http://www.tebon.com.cn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(97)第一创业证券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注册地址:深圳市福田区福华一路115号投行大厦20楼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办公地址:深圳市福田区福华一路115号投行大厦20楼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法定代表人:刘学民</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联系人:单晶</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联系电话:0755-23838750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客户服务电话:95358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网址:www.firstcapital.com.cn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(98)东北证券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注册地址:长春市生态大街6666号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办公地址:长春市生态大街6666号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法定代表人:李福春</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联系人:安岩岩</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联系电话:0431-85096517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客户服务电话:95360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传真:0431-85096795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网址:www.nesc.cn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(99)东方财富证券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注册地址:西藏自治区拉萨市柳梧新区国际总部城10栋楼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办公地址:上海市徐汇区宛平南路88号金座东方财富大厦16楼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法定代表人:郑立坤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联系人:付佳</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联系电话:021-23586603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客户服务电话:95357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网址:http://www.18.cn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(100)东方证券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注册地址:上海市黄浦区中山南路119号东方证券大厦</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办公地址:上海市中山南路318号2号楼22层、23层、25层-29层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法定代表人:金文忠（代）</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联系人:龚玉君</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联系电话:021-63325888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客户服务电话:95503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传真:021-63326729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网址:http://www.dfzq.com.cn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(101)东海证券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注册地址:江苏省常州市延陵西路23号投资广场18层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办公地址:上海市浦东新区东方路1928号东海证券大厦</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法定代表人:钱俊文</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联系人:王一彦</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联系电话:021-20333333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客户服务电话:95531、400-8888-588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传真:021-50498825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网址:www.longone.com.cn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(102)东吴证券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注册地址:苏州工业园区星阳街5号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办公地址:苏州工业园区星阳街5号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法定代表人:范力</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联系人:陆晓</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联系电话:0512-62938521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客户服务电话:95330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传真:0512-65588021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网址:www.dwzq.com.cn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(103)东莞证券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注册地址:东莞市莞城区可园南路一号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办公地址:东莞市莞城区可园南路1号金源中心30楼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法定代表人:陈照星</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联系人:陈士锐</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联系电话:0769-22112151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客户服务电话:95328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传真:0769-22115712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网址:www.dgzq.com.cn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(104)光大证券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注册地址:上海市静安区新闸路1508号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办公地址:上海市静安区新闸路1508号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法定代表人:刘秋明</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联系人:郁疆</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联系电话:021-22169999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客户服务电话:95525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网址:www.ebscn.com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(105)广发证券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注册地址:广东省广州市黄埔区中新广州知识城腾飞一街2号618室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办公地址:广州市天河区马场路26号广发证券大厦</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法定代表人:孙树明</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联系人:黄岚</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客户服务电话:95575或02095575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网址:www.gf.com.cn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(106)国都证券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注册地址:北京市东城区东直门南大街3号国华投资大厦9层10层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办公地址:北京市东城区东直门南大街3号国华投资大厦9层10层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法定代表人:翁振杰</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联系人:黄静</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联系电话:010-84183333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客户服务电话:400-818-8118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传真:010-84183311-3122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网址:www.guodu.com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(107)国海证券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注册地址:广西桂林市辅星路13号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办公地址:深圳市福田区竹子林四路光大银行大厦3楼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法定代表人:何春梅</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联系人:田密</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联系电话:0755-83716916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客户服务电话:95563或0771-95563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网址:www.ghzq.com.cn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(108)国金证券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注册地址:成都市青羊区东城根上街95号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办公地址:成都市青羊区东城根上街95号成证大厦</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法定代表人:冉云</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联系人:杜晶、黎建平</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联系电话:028-86690057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客户服务电话:95310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传真:028-86690126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网址:www.gjzq.com.cn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(109)国联证券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注册地址:江苏省无锡市太湖新城金融一街8号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办公地址:江苏省无锡市太湖新城金融一街8号国联金融大厦</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法定代表人:姚志勇</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联系人:祁昊</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联系电话:0510-82831662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客户服务电话:95570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传真:0510-82830162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网址:www.glsc.com.cn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(110)国融证券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注册地址:内蒙古自治区呼和浩特市武川县腾飞大道1号4楼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办公地址:北京市西城区宣武门西大街甲129号金隅大厦16层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法定代表人:张智河</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联系人:刘云龙、张泽浩</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联系电话:010-83991889、010-83991862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客户服务电话:95385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传真:010-66412537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网址:www.grzq.com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(111)国盛证券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注册地址:江西省南昌市新建区子实路1589号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办公地址:江西省南昌市红谷滩新区凤凰中大道1115号北京银行大厦</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法定代表人:周军</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联系人:占文驰</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联系电话:0791-88250812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客户服务电话:956080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传真:0791-86281305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网址:www.gszq.com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(112)国泰君安证券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注册地址:中国（上海）自由贸易试验区商城路618号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办公地址:上海市静安区南京西路768号国泰君安大厦</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法定代表人:贺青</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联系人:芮敏祺</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客户服务电话:95521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传真:021-38670666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网址:www.gtja.com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(113)国信证券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注册地址:深圳市罗湖区红岭中路1012号国信证券大厦十六层至二十六层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办公地址:深圳市罗湖区红岭中路1012号国信证券大厦十六层至二十六层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法定代表人:何如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联系人:李颖</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联系电话:0755-82130833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客户服务电话:95536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传真:0755-82133952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网址:www.guosen.com.cn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(114)国元证券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注册地址:安徽省合肥市梅山路18号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办公地址:安徽省合肥市梅山路18号安徽国际金融中心A座国元证券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法定代表人:俞仕新</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联系人:汪先哲</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联系电话:0551-62207400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客户服务电话:95578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传真:0551-2272100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网址:www.gyzq.com.cn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(115)海通证券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注册地址:上海市广东路689号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办公地址:上海市广东路689号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法定代表人:周杰</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联系人:金芸、李笑鸣</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联系电话:021-23219000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客户服务电话:95553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传真:021-23219100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网址:www.htsec.com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(116)红塔证券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注册地址:云南省昆明市北京路155号附1号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办公地址:云南省昆明市北京路155号附1号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法定代表人:李素明</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联系人:杨敏珺</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联系电话:0871-63353652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客户服务电话:956060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传真:0871-63578827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网址:http://www.hongtastock.com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(117)华安证券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注册地址:安徽省合肥市政务文化新区天鹅湖路198号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办公地址:安徽省合肥市政务文化新区天鹅湖路198号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法定代表人:章宏韬</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联系人:范超</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联系电话:0551-65161821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客户服务电话:95318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传真:0551-65161825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网址:www.hazq.com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(118)华宝证券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注册地址:中国（上海）自由贸易试验区世纪大道100号57层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办公地址:中国（上海）自由贸易试验区世纪大道100号57层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法定代表人:刘加海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联系人:刘闻川</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联系电话:021-20515385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客户服务电话:400-820-9898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传真:021-20515593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网址:www.cnhbstock.com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(119)华福证券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注册地址:福建省福州市鼓楼区鼓屏路27号1#楼3层、4层、5层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办公地址:上海市浦东新区陆家嘴环路1088号招行上海大厦18层、19层、29层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法定代表人:黄金琳</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联系人:王虹</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联系电话:021-20655183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客户服务电话:95547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传真:021-20655196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网址:www.hfzq.com.cn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(120)华林证券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注册地址:西藏自治区拉萨市柳梧新区国际总部城3幢1单元5-5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办公地址:深圳市南山区深南大道9668号华润置地大厦C座31-33层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法定代表人:林立</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联系人:郑琢</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联系电话:0755-82707766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客户服务电话:400-188-3888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传真:0755-82707993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网址:www.chinalin.com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(121)华龙证券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注册地址:兰州市城关区东岗西路638号兰州财富中心21楼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办公地址:兰州市城关区东岗西路638号兰州财富中心</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法定代表人:陈牧原</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联系人:范坤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联系电话:0931-4890208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客户服务电话:95368、400-689-8888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传真:0931-4890628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网址:www.hlzq.com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(122)华融证券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注册地址:北京市西城区金融大街8号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办公地址:北京市朝阳区朝阳门北大街18号中国人保寿险大厦12至18层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法定代表人:张海文</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联系人:孙燕波</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联系电话:010-85556048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客户服务电话:95390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传真:010-85556088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网址:www.hrsec.com.cn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(123)华泰证券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注册地址:南京市江东中路228号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办公地址:南京市建邺区江东中路228号华泰证券广场</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法定代表人:张伟</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联系人:庞晓芸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联系电话:0755-82492193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客户服务电话:95597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传真:025-83387523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网址:www.htsc.com.cn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(124)华西证券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注册地址:四川省成都市高新区天府二街198号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办公地址:四川省成都市高新区天府二街198号华西证券大厦</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法定代表人:杨炯洋</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联系人:张彬</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联系电话:010-58124967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客户服务电话:95584</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传真:028-86150040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网址:www.hx168.com.cn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(125)华鑫证券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注册地址:深圳市福田区莲花街道福中社区深南大道2008号中国凤凰大厦1栋20C-1房</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办公地址:上海市徐汇区宛平南路8号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法定代表人:俞洋</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联系人:刘熠</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联系电话:021-54967656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客户服务电话:95323（全国）、400-109-9918（全国）、029-68918888（西安）</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传真:021- 54967293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网址:www.cfsc.com.cn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(126)江海证券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注册地址:黑龙江省哈尔滨市香坊区赣水路56号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办公地址:黑龙江省哈尔滨市松北区创新三路833号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法定代表人:赵洪波</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联系人:王金娇</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联系电话:0451-87765732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客户服务电话:956007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传真:0451-82337279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网址:www.jhzq.com.cn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(127)金元证券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注册地址:海口市南宝路36号证券大厦4楼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办公地址:深圳市深南大道4001号时代金融中心大厦17楼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法定代表人:王作义</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联系人:刘萍</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联系电话:0755-83025693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客户服务电话:95372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传真:0755-83025625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网址:www.jyzq.cn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(128)九州证券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注册地址:青海省西宁市南川工业园区创业路108号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办公地址:北京市朝阳区安立路30号仰山公园东一门2号楼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法定代表人:魏先锋</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联系人:张晓黎</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联系电话:010-57672186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客户服务电话:95305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网址:www.jzsec.com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(129)开源证券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注册地址:陕西省西安市高新区锦业路1号都市之门B座5层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办公地址:陕西省西安市高新区锦业路1号都市之门B座5层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法定代表人:李刚</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联系人:张蕊</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联系电话:029-88365809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客户服务电话:95325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网址:www.kysec.cn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(130)联储证券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注册地址:广东省深圳市福田区福田街道岗厦社区深南大道南侧金地中心大厦9楼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办公地址:上海市浦东新区陆家嘴环路1366号富士康大厦9、10层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法定代表人:吕春卫</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联系人:祝博文</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联系电话:010-86499794</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客户服务电话:400-620-6868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网址:www.lczq.com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(131)民生证券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注册地址:中国(上海)自由贸易试验区世纪大道1168号B座2101、2104A室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办公地址:北京市东城区建国门内大街28号民生金融中心A座16-20层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法定代表人:冯鹤年</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联系人:胡梦雅</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联系电话:010-85127627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客户服务电话:95376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网址:www.mszq.com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(132)南京证券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注册地址:南京市江东中路389号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办公地址:南京市江东中路389号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法定代表人:李剑锋</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联系人:王万君</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联系电话:025-58519523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客户服务电话:95386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传真:025-83369725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网址:www.njzq.com.cn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(133)平安证券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注册地址:深圳市福田区福田街道益田路5023号平安金融中心B座第22-25层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办公地址:深圳市福田区金田路4036号荣超大厦16-20层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法定代表人:何之江</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联系人:周驰</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联系电话:021-38643230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客户服务电话:95511-8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传真:021-58991896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网址:stock.pingan.com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(134)瑞银证券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注册地址:北京市西城区金融大街7号英蓝国际金融中心12层、15层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办公地址:北京市西城区金融大街7号英蓝国际金融中心12层、15层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法定代表人:钱于军</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联系人:谢丹</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联系电话:0755-22158878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客户服务电话:400-887-8827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传真:010-58328170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网址:https://www.ubs.com/ubssecurities</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(135)山西证券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注册地址:太原市府西街69号山西国际贸易中心东塔楼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办公地址:太原市府西街69号山西国际贸易中心东塔楼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法定代表人:王怡里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联系人:谢武兵</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联系电话:0351-8686721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客户服务电话:95573或400-666-1618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传真:0351-8686619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网址:www.i618.com.cn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(136)上海证券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注册地址:上海市黄浦区四川中路213号7楼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办公地址:上海市四川中路213号久事商务大厦7楼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法定代表人:何伟</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联系人:邵珍珍</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联系电话:021-53686888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客户服务电话:4008-918-918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传真:021-53686100-7008，021-53686200-7008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网址:https://www.shzq.com/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(137)申万宏源西部证券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注册地址:新疆乌鲁木齐市高新区（新市区）北京南路358号大成国际大厦20楼2005室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办公地址:新疆乌鲁木齐市高新区（新市区）北京南路358号大成国际大厦20楼2005室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法定代表人:王献军</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联系人:王怀春</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联系电话:0991-2307105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客户服务电话:4008-000-562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传真:010-88085195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网址:www.hysec.com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(138)申万宏源证券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注册地址:上海市徐汇区长乐路989号45层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办公地址:上海市徐汇区长乐路989号世纪商贸广场45层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法定代表人:杨玉成</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联系人:陈宇</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联系电话:021-33388252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客户服务电话:95523、4008895523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传真:021-33388224</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网址:www.swhysc.com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(139)世纪证券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注册地址:深圳市前海深港合作区南山街道桂湾五路128号前海深港基金小镇对冲基金中心406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办公地址:广东省深圳市福田区福田街道金田路2026号能源大厦北塔23-25楼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法定代表人:李强</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联系人:徐玲娟</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联系电话:0755-83199599-9135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客户服务电话:4008323000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网址:www.csco.com.cn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(140)首创证券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注册地址:北京市西城区德胜门外大街115号德胜尚城E座</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办公地址:北京市西城区德胜门外大街115号德胜尚城E座</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法定代表人:毕劲松</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联系人:刘宇</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联系电话:010-59366070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客户服务电话:95381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传真:010-59366238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网址:www.sczq.com.cn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(141)天风证券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注册地址:湖北省武汉市东湖新技术开发区关东园路2号高科大厦四楼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办公地址:湖北省武汉市武昌区中南路99号保利广场A座37楼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法定代表人:余磊</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联系人:王雅薇</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联系电话:027-87617017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客户服务电话:95391/400-800-5000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传真:027-87618863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网址:http://www.tfzq.com/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(142)万联证券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注册地址:广州市天河区珠江东路11号18、19楼全层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办公地址:广州市天河区珠江东路13号高德置地广场E栋12层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法定代表人:罗钦城</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联系人:甘蕾</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联系电话:020-38286026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客户服务电话:95322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传真:020-38286588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网址:www.wlzq.cn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(143)西部证券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注册地址:陕西省西安市新城区东新街319号8幢10000室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办公地址:陕西省西安市新城区东新街319号8幢10000室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法定代表人:徐朝晖</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联系人:张吉安</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联系电话:029-87211668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客户服务电话:95582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传真:029-87211478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网址:www.westsecu.com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(144)西南证券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注册地址:重庆市江北区桥北苑8号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办公地址:重庆市江北区桥北苑8号西南证券大厦</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法定代表人:廖庆轩</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联系人:魏馨怡</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联系电话:023-67663104</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客户服务电话:4008096096或95355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传真:023-63786212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网址:www.swsc.com.cn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(145)湘财证券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注册地址:湖南省长沙市天心区湘府中路198号新南城商务中心A栋11楼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办公地址:湖南省长沙市天心区湘府中路198号新南城商务中心A栋11楼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法定代表人:高振营</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联系人:江恩前</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联系电话:021-38784580-8920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客户服务电话:95351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传真:021-68865680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网址:www.xcsc.com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(146)新时代证券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注册地址:北京市海淀区北三环西路99号院1号楼15层1501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办公地址:北京市海淀区北三环西路99号院1号楼15层1501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法定代表人:林雯</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联系人:廖晓</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联系电话:010-83561321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客户服务电话:95399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网址:www.xsdzq.cn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(147)信达证券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注册地址:北京市西城区闹市口大街9号院1号楼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办公地址:北京市西城区闹市口大街9号院1号楼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法定代表人:祝瑞敏</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联系人:王薇安</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联系电话:010-83252170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客户服务电话:95321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传真:010-63080978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网址:www.cindasc.com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(148)兴业证券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注册地址:福州市湖东路268号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办公地址:上海浦东新区长柳路36号兴业证券大厦20楼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法定代表人:杨华辉</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联系人:乔琳雪</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联系电话:021-38565547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客户服务电话:95562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网址:www.xyzq.com.cn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(149)银河证券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注册地址:北京市西城区金融大街35号2-6层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办公地址:北京市丰台区西营街8号院1号楼青海金融大厦</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法定代表人:陈共炎</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联系人:辛国政</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联系电话:010-80928123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客户服务电话:4008-888-888或95551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网址:www.chinastock.com.cn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(150)粤开证券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注册地址:广州经济技术开发区科学大道60号开发区金控中心21、22、23层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办公地址:广州经济技术开发区科学大道60号开发区金控中心21、22、23层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法定代表人:严亦斌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联系人:彭莲</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联系电话:0755-83331195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客户服务电话:95564</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网址:http://www.ykzq.com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(151)招商证券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注册地址:深圳市福田区福田街道福华一路111号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办公地址:深圳市福田区福田街道福华一路111号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法定代表人:霍达</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联系人:黄婵君</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联系电话:0755-82943666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客户服务电话:95565、400-8888-111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传真:0755-82943636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网址:www.newone.com.cn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(152)浙商证券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注册地址:浙江省杭州市江干区五星路201号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办公地址:浙江省杭州市江干区五星路201号浙商证券大楼8楼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法定代表人:吴承根</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联系人:高扬</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联系电话:0571-87902974</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客户服务电话:95345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传真:0571-87901913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网址:www.stocke.com.cn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(153)中航证券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注册地址:江西省南昌市红谷滩新区红谷中大道1619号南昌国际金融大厦A栋41层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办公地址:江西省南昌市红谷滩新区红谷中大道1619号南昌国际金融大厦A栋41层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法定代表人:丛中</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联系人:王紫雯</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联系电话:010-59562468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客户服务电话:95335或400-88-95335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传真:010-59562637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网址:www.avicsec.com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(154)中金财富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注册地址:深圳市福田区益田路与福中路交界处荣超商务中心A栋第18-21层及第04层01.02.03.05.11.12.13.15.16.18.19.20.21.22.23单元</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办公地址:深圳福田区益田路6003号荣超商务中心A座4层、18-21层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法定代表人:高涛</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联系人:万玉琳</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联系电话:0755-82026907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客户服务电话:95532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网址:https://www.ciccwm.com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(155)中金公司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注册地址:北京市朝阳区建国门外大街1号国贸大厦2座27层及28层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办公地址:北京市朝阳区建国门外大街甲6号SK大厦38层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法定代表人:沈如军</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联系人:杨涵宇</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联系电话:010-65051166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客户服务电话:4009101166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网址:www.cicc.com.cn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(156)中山证券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注册地址:深圳市南山区粤海街道蔚蓝海岸社区创业路1777号海信南方大厦21、22层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办公地址:深圳市南山区创业路1777号海信南方大厦21、22层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法定代表人:吴小静</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联系人:罗艺琳</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联系电话:0755-82943755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客户服务电话:95329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传真:0755-82960582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网址:www.zszq.com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(157)中泰证券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注册地址:济南市市中区经七路86号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办公地址:山东省济南市经七路86号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法定代表人:李峰</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联系人:许曼华</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联系电话:021-20315290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客户服务电话:95538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传真:0531-68889095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网址:www.zts.com.cn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(158)中天证券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注册地址:辽宁省沈阳市和平区光荣街23甲</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办公地址:辽宁省沈阳市和平区光荣街23甲</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法定代表人:马功勋</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联系人:李泓灏</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联系电话:024-23255256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客户服务电话:024-95346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传真:024-23255606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网址:www.iztzq.com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(159)中信建投证券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注册地址:北京市朝阳区安立路66号4号楼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办公地址:北京市朝阳门内大街188号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法定代表人:王常青</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联系人:刘芸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联系电话:010－85130554</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客户服务电话:95587或4008-888-108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网址:http://www.csc108.com/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(160)中信证券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注册地址:广东省深圳市福田区中心三路8号卓越时代广场（二期）北座</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办公地址:北京市朝阳区亮马桥路48号中信证券大厦</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法定代表人:张佑君</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联系人:王一通</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联系电话:010-60838888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客户服务电话:95548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传真:010-60836029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网址:www.cs.ecitic.com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(161)中信证券（山东）</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注册地址:青岛市崂山区深圳路222号1号楼2001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办公地址:青岛市市南区东海西路28号龙翔广场东座5层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法定代表人:冯恩新</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联系人:焦刚</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联系电话:0531-89606166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客户服务电话:95548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传真:0532-85022605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网址:http://sd.citics.com/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(162)中信证券华南</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注册地址:广州市天河区珠江西路5号501房</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办公地址:广州市天河区临江大道395号合利天德广场T1楼10层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法定代表人:胡伏云</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联系人:陈靖</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联系电话:020-88836999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客户服务电话:95548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传真:020-88836984</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网址:www.gzs.com.cn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(163)中银证券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注册地址:上海市浦东新区银城中路200号中银大厦39层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办公地址:上海市浦东新区银城中路200号中银大厦39-40层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法定代表人:宁敏</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联系人:王炜哲</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客户服务电话:400-620-8888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传真:021-50372474</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网址:www.bocichina.com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(164)中邮证券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注册地址:陕西省西安市唐延路5号（陕西邮政信息大厦9-11层）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办公地址:北京市东城区珠市口东大街17号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法定代表人:于晓军</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联系人:岳帅</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联系电话:010-67017788-6068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客户服务电话:4008-888-005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传真:010-67017788-9696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网址:www.cnpsec.com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(165)中原证券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注册地址:郑州市郑东新区商务外环路10号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办公地址:河南省郑州市郑东新区商务外环路10号中原广发金融大厦19楼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法定代表人:菅明军</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联系人:程月艳  李盼盼 党静</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联系电话:0371-69099882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客户服务电话:95377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传真:0371--65585899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网址:www.ccnew.com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(166)甬兴证券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注册地址:浙江省宁波市鄞州区海晏北路565、577号8-11层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办公地址:上海市黄浦区南京西路399号明天广场22楼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法定代表人:李抱</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联系人:徐璐</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联系电话:021-63898427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客户服务电话:400-916-0666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网址:www.yongxingsec.com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(167)长量基金</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注册地址:上海市浦东新区高翔路526号2幢220室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办公地址:上海市浦东新区东方路1267号陆家嘴金融服务广场二期11层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法定代表人:张跃伟</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联系人:孙娅雯</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联系电话:021-20691819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客户服务电话:400-820-2899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传真:021-20691861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网址:www.erichfund.com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(168)创金启富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注册地址:北京市西城区白纸坊东街2号院6号楼712室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办公地址:北京市西城区白纸坊东街2号院6号楼712室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法定代表人:梁蓉</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联系人:魏素清</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联系电话:010-66154828-8047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客户服务电话:010-66154828-8005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传真:010-63583991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网址:www.5irich.com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(169)大智慧基金</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注册地址:中国（上海）自由贸易试验区杨高南路428号1号楼1102单元</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办公地址:中国（上海）自由贸易试验区杨高南路428号1号楼1102单元</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法定代表人:申健</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联系人:张蜓</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联系电话:021-20219988-35374</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客户服务电话:021-20292031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传真:021-20219923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网址:https://www.wg.com.cn/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(170)蛋卷基金</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注册地址:北京市朝阳区创远路34号院6号楼15层1501室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办公地址:北京市朝阳区创远路 34 号院融新科技中心 C 座 17 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法定代表人:钟斐斐</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联系人:侯芳芳</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联系电话:010-61840688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客户服务电话:400-159-9288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网址:https://danjuanapp.com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(171)度小满基金</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注册地址:北京市海淀区西北旺东路10号院西区4号楼1层103室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办公地址:北京市海淀区西北旺东路10号院西区4号楼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法定代表人:葛新</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联系人:孙博超</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联系电话:010-59403028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客户服务电话:95055-4</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网址:www.baiyingfund.com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(172)泛华普益</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注册地址:四川省成都市成华区建设路9号高地中心1101室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办公地址:成都市金牛区花照壁西顺街399号1栋1单元龙湖西宸天街B座1201号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法定代表人:于海锋</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联系人:陈丹</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联系电话:15114053620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客户服务电话:400-080-3388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网址:www.puyifund.com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(173)富济基金</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注册地址:深圳市福田区福田街道岗厦社区金田路3088号中洲大厦3203A单元</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办公地址:深圳市福田区福田街道岗厦社区金田路3088号中洲大厦3203A单元</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法定代表人:祝中村</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联系人:曾瑶敏</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联系电话:0755-83999907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客户服务电话:0755-83999907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传真:0755-83999926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网址:www.fujifund.cn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(174)海银基金</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注册地址:中国（上海）自由贸易试验区银城中路8号402室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办公地址:上海市浦东新区银城中路8号海银金融中心4楼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法定代表人:巩巧丽</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联系人:李卓楠</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联系电话:021-80134149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客户服务电话:400-808-1016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传真:021-80133413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网址:www.fundhaiyin.com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(175)好买基金</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注册地址:上海市虹口区欧阳路196号26号楼2楼41号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办公地址:上海市浦东南路1118号鄂尔多斯国际大厦903～906室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法定代表人:杨文斌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联系人:高源</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联系电话:021-36696312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客户服务电话:400-700-9665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传真:021-68596919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网址:www.ehowbuy.com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(176)恒天明泽</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注册地址:北京市经济技术开发区宏达北路10号五层5122室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办公地址:北京市朝阳区东三环北路甲19号SOHO嘉盛中心30层3001室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法定代表人:周斌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联系人:侯艳红</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联系电话:010-59313555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客户服务电话:400-8980-618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传真:010-59313586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网址:www.chtwm.com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(177)虹点基金</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注册地址:北京市朝阳区东三环北路17号10层1015室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办公地址:北京市朝阳区东三环北路17号10层1015室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法定代表人:何静</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联系人:王重阳</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联系电话:010-65951887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客户服务电话:400-618-0707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网址:www.hongdianfund.com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(178)华夏财富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注册地址:上海市虹口区东大名路687号1幢2楼268室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办公地址:北京市西城区金融大街33号通泰大厦B座8层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法定代表人:毛淮平</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联系人:张静怡</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联系电话:010-88066326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客户服务电话:400-817-5666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传真:010-63136184</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网址:www.amcfortune.com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(179)汇成基金</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注册地址:北京市西城区西直门外大街1号院2号楼17层19C13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办公地址:北京市西城区西直门外大街1号院2号楼19层19C13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法定代表人:王伟刚</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联系人:王骁骁</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联系电话:010-56251471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客户服务电话:400-619-9059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网址:www.hcfunds.com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(180)汇付基金</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注册地址:上海市黄浦区九江路769号1807-3室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办公地址:上海市徐汇区宜山路700号普天信息产业园2期C5栋 汇付天下总部大楼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法定代表人:金佶</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联系人:甄宝林</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联系电话:021-34013996-3011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客户服务电话:021-34013999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传真:021-33323837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网址:www.hotjijin.com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(181)济安财富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注册地址:北京市朝阳区太阳宫中路16号院1号楼3层307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办公地址:北京市朝阳区太阳宫中路16号院1号楼冠捷大厦3层307单元</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法定代表人:杨健</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联系人:李海燕</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联系电话:010-65309516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客户服务电话:400-673-7010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传真:010-65330699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网址:www.jianfortune.com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(182)嘉实财富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注册地址:中国（上海）自由贸易试验区世纪大道8号上海国金中心办公楼二期27层2716单元</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办公地址:北京市朝阳区建国门外大街21号北京国际俱乐部C座写字楼11层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法定代表人:张峰</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联系人:闫欢</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联系电话:010-85097302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客户服务电话:400-021-8850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传真:010-85712195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网址:www.harvestwm.cn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(183)加和基金</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注册地址:北京市西城区德胜门外大街13号院1号楼5层505室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办公地址:北京市西城区德胜门外大街13号院1号楼5层505室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法定代表人:曲阳</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联系人:王梓骄</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联系电话:010-80456756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客户服务电话:400-803-1188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传真:010-8045 6278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网址:www.bzfunds.com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(184)金海九州</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注册地址:深圳市前海深港合作区前湾一路1号A栋201室（入驻深圳市前海商务秘书有限公司）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办公地址:深圳市福田区富德生命保险大厦1106室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法定代表人:彭维熙</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联系人:彭维熙</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联系电话:0755-81994266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客户服务电话:4000993333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传真:0755-84333886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网址:www.jhjzfund.com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(185)京东肯特瑞</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注册地址:北京市海淀区西三旗建材城中路12号17号平房157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办公地址:北京市通州区亦庄经济技术开发区科创十一街18号院京东集团总部A座17层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法定代表人:王苏宁</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联系人:邢锦超</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客户服务电话:95118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网址:kenterui.jd.com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(186)凯石财富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注册地址:上海市黄浦区西藏南路765号602-115室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办公地址:上海市黄浦区延安东路1号凯石大厦4楼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法定代表人:陈继武</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联系人:冯强</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联系电话:021-63333389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客户服务电话:4006-433-389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传真:021-63333390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网址:www.vstonewealth.com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(187)利得基金</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注册地址:上海市宝山区蕴川路5475号1033室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办公地址:上海市虹口区东大名路1098号浦江国际金融广场53层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法定代表人:李兴春</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联系人:陈孜明</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联系电话:86-021-50583533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客户服务电话:400 032 5885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传真:86-21-61101630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网址:www.leadfund.com.cn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(188)联泰基金</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注册地址:中国（上海）自由贸易试验区富特北路277号3层310室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办公地址:上海市长宁区福泉北路518号8座3楼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法定代表人:尹彬彬</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联系人:陈东</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联系电话:021-52822063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客户服务电话:400-118-1188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传真:021-52975270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网址:www.66zichan.com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(189)陆基金</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注册地址:中国（上海）自由贸易试验区陆家嘴环路1333号14楼09单元</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办公地址:中国（上海）自由贸易试验区陆家嘴环路1333号14楼09单元</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法定代表人:陈祎彬</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联系人:宁博宇</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联系电话:021-20665952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客户服务电话:4008219031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传真:021-22066653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网址:www.lufunds.com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(190)蚂蚁基金</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注册地址:浙江省杭州市余杭区五常街道文一西路969号3幢5层599室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办公地址:浙江省杭州市西湖区万塘路18号黄龙时代广场B座6F</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法定代表人:祖国明</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联系人:韩爱彬</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联系电话:0571-26888888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客户服务电话:4000-766-123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网址:http://www.fund123.cn/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(191)民商基金</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注册地址:上海黄浦区北京东路666号H区（东座）6楼A31室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办公地址:上海市浦东新区张杨路707号生命人寿大厦32楼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法定代表人:贲惠琴</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联系人:林志枫</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联系电话:021-50206003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客户服务电话:021-50206003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传真:021-50206001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网址:http://www.msftec.com/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(192)诺亚正行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注册地址:上海市虹口区飞虹路360弄9号3724室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办公地址:上海市杨浦区长阳路1687号长阳谷2号楼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法定代表人:汪静波</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联系人:李娟</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联系电话:021-80358523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客户服务电话:400-821-5399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传真:021-80358749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网址:www.noah-fund.com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(193)浦领基金</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注册地址:北京市朝阳区望京东园四区2号楼10层1001号04室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办公地址:北京市朝阳区望京浦项中心A座9层04-08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法定代表人:张昱</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联系人:李艳</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联系电话:010-59497361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客户服务电话:400-012-5899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传真:010-64788016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网址:www.zscffund.com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(194)钱景基金</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注册地址:北京市海淀区中关村东路18号1号楼11层B-1108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办公地址:北京市海淀区中关村东路18号财智国际大厦B-1108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法定代表人:王利刚</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联系人:白皓</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联系电话:010-59422766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客户服务电话:400-893-6885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传真:010-62565181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网址:www.qianjing.com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(195)尚善基金</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注册地址:浦东新区上丰路977号1幢B座812室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办公地址:上海市浦东新区碧波路690号4幢201-2A室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法定代表人:孙晓慧</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联系人:陆纪青</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联系电话:021-80234888-6813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客户服务电话:400-699-1888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网址:www.998fund.com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(196)苏宁基金</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注册地址:南京市玄武区苏宁大道1-5号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办公地址:南京市玄武区苏宁大道1-5号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法定代表人:王锋</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联系人:冯鹏鹏</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联系电话:025-66996699-882796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客户服务电话:95177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网址:www.snjijin.com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(197)腾安基金</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注册地址:深圳市前海深港合作区前湾一路1号A栋201室（入驻深圳市前海商务秘书有限公司）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办公地址:深圳市南山区海天二路33号腾讯滨海大厦15楼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法定代表人:刘明军</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联系人:谭广锋</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客户服务电话:95017（拨通后转1转8）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网址:https://www.txfund.com/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(198)天天基金</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注册地址:上海市徐汇区龙田路190号2号楼2层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办公地址:上海市徐汇区宛平南路88号东方财富大厦</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法定代表人:其实</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联系人:屠彦洋</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联系电话:021-54509977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客户服务电话:95021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传真:021-64385308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网址:www.1234567.com.cn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(199)通华财富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注册地址:上海市虹口区同丰路667弄107号201室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办公地址:上海市浦东新区金沪路55号通华科技大厦2楼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法定代表人:沈丹义</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联系人:杨涛、庄洁茹</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联系电话:021-60810586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客户服务电话:400-101-9301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传真:021-60810695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网址:www.tonghuafund.com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(200)同花顺</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注册地址:浙江省杭州市文二西路1号903室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办公地址:杭州市余杭区五常街道同顺街18号同花顺大楼4层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法定代表人:吴强</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联系人:吴强</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联系电话:0571-88911818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客户服务电话:952555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传真:0571-86800423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网址:www.5ifund.com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(201)途牛基金</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注册地址:江苏省南京市玄武区玄武大道699-1号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办公地址:江苏省南京市玄武区玄武大道699-32号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法定代表人:单宏杰</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联系人:贺杰</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联系电话:025-86853960-66727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客户服务电话:4007-999-999转3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网址:http://jr.tuniu.com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(202)挖财基金</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注册地址:中国（上海）自由贸易试验区杨高南路759号18层03单元</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办公地址:中国（上海）自由贸易试验区杨高南路759号18层03单元</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法定代表人:吕柳霞</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联系人:毛善波</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联系电话:021-50810687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客户服务电话:021-50810673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网址:www.wacaijijin.com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(203)万得基金</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注册地址:中国（上海）自由贸易试验区福山路33号11楼B座</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办公地址:上海市浦东新区浦明路1500号万得大厦11楼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法定代表人:黄祎</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联系人:徐亚丹</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联系电话:021-50712782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客户服务电话:400-799-1888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网址:www.520fund.com.cn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(204)万家财富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注册地址:天津自贸区（中心商务区）迎宾大道1988号滨海浙商大厦公寓2-2413室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办公地址:北京市西城区丰盛胡同28号太平洋保险大厦A座5层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法定代表人:戴晓云</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联系人:王芳芳</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联系电话:010-59013828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客户服务电话:010-59013895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网址:http://www.wanjiawealth.com/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(205)喜鹊基金</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注册地址:西藏拉萨市柳梧新区柳梧大厦1513室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办公地址:北京市朝阳区北苑路甲1号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法定代表人:王舰正</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联系人:张萌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联系电话:010-58349088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客户服务电话:4006997719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网址:www.xiquefund.com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(206)新浪仓石</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注册地址:北京市海淀区东北旺西路中关村软件园二期（西扩）N-1、N-2地块新浪总部科研楼5层518室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办公地址:北京市海淀区西北旺东路10号院东区3号楼为明大厦C座</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法定代表人:赵芯蕊</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联系人:赵芯蕊</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联系电话:010-62625768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客户服务电话:010-62675369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传真:010-62676582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网址:www.xincai.com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(207)一路财富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注册地址:北京市海淀区宝盛南路1号院20号楼9层101-14</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办公地址:北京市海淀区宝盛南路奥北科技园20号楼国泰大厦9层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法定代表人:吴雪秀</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联系人:董宣</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联系电话:010-88312877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客户服务电话:400-001-1566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传真:010-88312099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网址:www.yilucaifu.com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(208)宜信普泽</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注册地址:北京市朝阳区光华路7号楼20层20A1、20A2单元</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办公地址:北京市朝阳区光华路7号楼20层20A1、20A2单元</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法定代表人:才殿阳</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联系人:魏晨</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联系电话:13260309352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客户服务电话:400-6099-200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传真:010-59644044</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网址:www.yixinfund.com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(209)盈米基金</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注册地址:珠海市横琴新区宝华路6号105室-3491（集中办公区）</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办公地址:广州市海珠区阅江中路688号保利国际广场北塔33层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法定代表人:肖雯</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联系人:邱湘湘</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联系电话:020-89629099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客户服务电话:020-89629066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传真:020-89629011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网址:www.yingmi.cn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(210)云湾基金</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注册地址:中国（上海）自由贸易试验区新金桥路27号、明月路1257号1幢1层103-1、103-2办公区</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办公地址:上海市浦东新区新金桥路27号1号楼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法定代表人:冯轶明</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联系人:范泽杰</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联系电话:021-20530186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客户服务电话:400-820-1515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传真:021-20539999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网址:http://www.zhengtongfunds.com/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(211)增财基金</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注册地址:北京市西城区德胜门外大街83号4层407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办公地址:北京市西城区德胜门外大街83号4层407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法定代表人:罗细安</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联系人:闫丽敏</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联系电话:010-67000988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客户服务电话:010-67000988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传真:010-67000988-6000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网址:www.zcvc.com.cn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(212)展恒基金</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注册地址:北京市朝阳区安苑路11号西楼6层604、607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办公地址:北京市朝阳区北四环中路27号盘古大观3205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法定代表人:闫振杰</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联系人:武文佳</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联系电话:010-59601399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客户服务电话:400-818-8000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传真:0351-4110714</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网址:www.myfund.com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(213)中期时代基金</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注册地址:北京市朝阳区建国门外光华路14号1幢11层1103号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办公地址:北京市朝阳区建国门外光华路14号1幢4层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法定代表人:田宏莉</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联系人:尹庆</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联系电话:010-65807865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客户服务电话:95162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传真:010-65807864</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网址:www.jrtoo.com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(214)中正达广</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注册地址:上海市徐汇区龙兰路277号1号楼1203、1204室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办公地址:上海市徐汇区龙兰路277号1号楼1203、1204室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法定代表人:黄欣</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联系人:戴珉微</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联系电话:021-33768132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客户服务电话:400-6767-523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传真:021-33768132-802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网址:www.zhongzhengfund.com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(215)众禄基金</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注册地址:深圳市罗湖区笋岗街道笋西社区梨园路8号HALO广场一期四层12-13室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办公地址:深圳市罗湖区笋岗街道笋西社区梨园路8号HALO广场一期四层12-13室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法定代表人:薛峰</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联系人:龚江江</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联系电话:0755-33227950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客户服务电话:4006-788-887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传真:0755-33227951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网址:www.zlfund.cn    www.jjmmw.com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(216)奕丰金融</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注册地址:深圳市前海深港合作区前湾一路1号A栋201室（入驻深圳市前海商务秘书有限公司）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办公地址:深圳市南山区海德三道航天科技广场A座17楼1704室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法定代表人:TEO WEE HOWE</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联系人:叶健</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联系电话:0755-89460507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客户服务电话:400-684-0500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传真:0755-21674453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网址:www.ifastps.com.cn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(217)晟视天下</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注册地址:北京市怀柔区九渡河镇黄坎村735号03室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办公地址:北京市朝阳区朝外大街甲六号万通中心D座21层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法定代表人:蒋煜</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联系人:史俊杰</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联系电话:010-58170936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客户服务电话:010-58170761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传真:010-58170800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网址:www.shengshiview.com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(218)鼎信汇金</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注册地址:北京市朝阳区霄云路40号院1号楼3层306室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办公地址:北京市朝阳区霄云路40号院1号楼3层306室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法定代表人:齐凌峰</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联系人:阮志凌</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联系电话:010-82050520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客户服务电话:400-158-5050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传真:010-82086110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网址:www.9ifund.com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(219)和讯信息</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注册地址:北京市朝阳区朝外大街22号1002室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办公地址:北京市朝阳区朝外大街22号泛利大厦10层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法定代表人:章知方</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联系人:陈慧慧</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联系电话:010-85657353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客户服务电话:400-920-0022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传真:010-65884788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网址:http://licaike.hexun.com/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(220)金百临</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注册地址:无锡市滨湖区锦溪路99号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办公地址:江苏省无锡市太湖新城锦溪道楝泽路9号楼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法定代表人:费晓燕</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联系人:邹云</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联系电话:0510-81188088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客户服务电话:0510-9688988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网址:www.jsjbl.com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(221)深圳新兰德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注册地址:深圳市福田区福田街道民田路178号华融大厦27层2704</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办公地址:北京市西城区宣武门外大街28号富卓大厦A座16层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法定代表人:洪弘</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联系人:文雯</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联系电话:010-83363101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客户服务电话:400-166-1188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传真:010-83363010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网址:http://8.jrj.com.cn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(222)中证金牛</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注册地址:北京市丰台区东管头1号2号楼2-45室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办公地址:北京市西城区宣武门外大街甲1号环球财讯中心A座5层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法定代表人:钱昊旻</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联系人:沈晨</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联系电话:010-59336544</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客户服务电话:4008-909-998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网址:www.jnlc.com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(223)鑫鼎盛</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注册地址:厦门市思明区鹭江道2号厦门第一广场西座1501-1502室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办公地址:厦门市思明区鹭江道2号厦门第一广场西座1501-1502室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法定代表人:陈洪生</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联系人:梁云波</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联系电话:0592-3122757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客户服务电话:400-6533-789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网址:www.xds.com.cn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(224)阳光人寿保险</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注册地址:海南省三亚市迎宾路360-1号三亚阳光金融广场16层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办公地址:北京市朝阳区朝阳门外大街乙12号院1号昆泰国际大厦12层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法定代表人:李科</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联系人:王超</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联系电话:010-85632771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客户服务电话:95510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传真:010-85632773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网址:http://fund.sinosig.com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(225)中国人寿</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注册地址:北京市西城区金融大街16号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办公地址:北京市西城区金融大街16号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法定代表人:王滨</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联系人:杨子彤</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联系电话:010-63631752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客户服务电话:95519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网址:www.e-chinalife.com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(226)和谐销售</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注册地址:北京市朝阳区建国门外大街6号11层1102内103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办公地址:北京市朝阳区建国门外大街6号安邦金融中心</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法定代表人:左荣林</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联系人:张楠</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联系电话:010-85256214</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客户服务电话:4008195569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网址:www.hx-sales.com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(227)华瑞保险销售</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注册地址:上海市嘉定区南翔镇众仁路399号运通星财富广场1号楼B座13、14层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办公地址:上海市浦东新区向城路288号国华人寿金融大厦8层806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法定代表人:路昊</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联系人:茆勇强</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联系电话:021-68595698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客户服务电话:952303</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传真:021-68595766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网址:www.huaruisales.com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(228)东证期货</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注册地址:中国（上海）自由贸易试验区浦电路500号上海期货大厦14层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办公地址:上海市黄浦区中山南路318号2号楼22楼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法定代表人:卢大印</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联系人:张敏圆</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联系电话:021-63325888-4259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客户服务电话:4008859999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传真:021-63326752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网址:www.dzqh.com.cn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(229)弘业期货</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注册地址:江苏省南京市秦淮区中华路50号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办公地址:江苏省南京市秦淮区中华路50号弘业大厦9楼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法定代表人:周剑秋</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联系人:张苏怡</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联系电话:025-52278981</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客户服务电话:400-828-1288</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网址:www.ftol.com.cn</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(230)徽商期货</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注册地址:安徽省合肥市芜湖路258号3号楼6-7层，6号楼1-2层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办公地址:合肥市芜湖路258号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法定代表人:吴国华</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联系人:申倩倩</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联系电话:0551-62865215</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客户服务电话:400-887-8707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网址:www.hsqh.net</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(231)中国国际期货</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注册地址:北京市朝阳区建国门外光华路14号1幢6层609号、610号</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办公地址:北京市朝阳区建国门外光华路14号1幢1层、2层、9层、11层、12层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法定代表人:王兵</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联系人:霍丽文</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联系电话:010-65807827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客户服务电话:95162</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传真:010-59539806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网址:http://www.cifco.net/</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(232)中信建投期货</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注册地址:重庆市渝中区中山三路131号希尔顿商务中心27楼、30楼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办公地址:重庆市渝中区中山三路107号皇冠大厦11楼</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法定代表人:王广学</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联系人:刘芸</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联系电话:023-86769637</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客户服务电话:400-8877-780</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传真:023-86769629</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网址:www.cfc108.com</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(233)中信期货</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注册地址:广东省深圳市福田区中心三路8号卓越时代广场（二期）北座13层1301-1305室、14层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办公地址:深圳市福田区中心三路8号卓越时代广场（二期）北座13层1301-1305室、14层</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法定代表人:张皓</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联系人:刘宏莹</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联系电话:010-6083 3754</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客户服务电话:400-990-8826</w:t>
      </w:r>
    </w:p>
    <w:p w:rsidR="00E9505A"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传真:021-60819988</w:t>
      </w:r>
    </w:p>
    <w:p w:rsidR="008F1DC3" w:rsidRPr="00286323" w:rsidRDefault="00E9505A" w:rsidP="00E9505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网址:www.citicsf.com</w:t>
      </w:r>
    </w:p>
    <w:p w:rsidR="001A7CDB" w:rsidRPr="00286323" w:rsidRDefault="001A7CDB" w:rsidP="00F71D3B">
      <w:pPr>
        <w:pStyle w:val="20"/>
        <w:numPr>
          <w:ilvl w:val="0"/>
          <w:numId w:val="12"/>
        </w:numPr>
        <w:snapToGrid w:val="0"/>
        <w:spacing w:beforeLines="0" w:afterLines="0" w:line="360" w:lineRule="auto"/>
        <w:ind w:firstLineChars="0"/>
        <w:rPr>
          <w:rFonts w:asciiTheme="minorEastAsia" w:eastAsiaTheme="minorEastAsia" w:hAnsiTheme="minorEastAsia" w:cs="Arial"/>
          <w:b w:val="0"/>
          <w:bCs/>
          <w:color w:val="000000" w:themeColor="text1"/>
          <w:szCs w:val="21"/>
        </w:rPr>
      </w:pPr>
      <w:bookmarkStart w:id="18" w:name="_Toc38432429"/>
      <w:r w:rsidRPr="00286323">
        <w:rPr>
          <w:rFonts w:asciiTheme="minorEastAsia" w:eastAsiaTheme="minorEastAsia" w:hAnsiTheme="minorEastAsia" w:cs="Arial"/>
          <w:b w:val="0"/>
          <w:bCs/>
          <w:color w:val="000000" w:themeColor="text1"/>
          <w:szCs w:val="21"/>
        </w:rPr>
        <w:lastRenderedPageBreak/>
        <w:t>基金注册登记机构</w:t>
      </w:r>
      <w:bookmarkEnd w:id="18"/>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名称：易方达基金管理有限公司</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注册地址：</w:t>
      </w:r>
      <w:r w:rsidR="00AC6F8E" w:rsidRPr="00286323">
        <w:rPr>
          <w:rFonts w:asciiTheme="minorEastAsia" w:eastAsiaTheme="minorEastAsia" w:hAnsiTheme="minorEastAsia" w:cs="Arial" w:hint="eastAsia"/>
          <w:color w:val="000000" w:themeColor="text1"/>
        </w:rPr>
        <w:t>广东省珠海市横琴新区宝华路6号105室－42891（集中办公区）</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办公地址：</w:t>
      </w:r>
      <w:r w:rsidR="00994622" w:rsidRPr="00286323">
        <w:rPr>
          <w:rFonts w:asciiTheme="minorEastAsia" w:eastAsiaTheme="minorEastAsia" w:hAnsiTheme="minorEastAsia" w:hint="eastAsia"/>
          <w:color w:val="000000" w:themeColor="text1"/>
        </w:rPr>
        <w:t>广州市天河区珠江新城珠江东路</w:t>
      </w:r>
      <w:r w:rsidR="00994622" w:rsidRPr="00286323">
        <w:rPr>
          <w:rFonts w:asciiTheme="minorEastAsia" w:eastAsiaTheme="minorEastAsia" w:hAnsiTheme="minorEastAsia"/>
          <w:color w:val="000000" w:themeColor="text1"/>
        </w:rPr>
        <w:t>30</w:t>
      </w:r>
      <w:r w:rsidR="00994622" w:rsidRPr="00286323">
        <w:rPr>
          <w:rFonts w:asciiTheme="minorEastAsia" w:eastAsiaTheme="minorEastAsia" w:hAnsiTheme="minorEastAsia" w:hint="eastAsia"/>
          <w:color w:val="000000" w:themeColor="text1"/>
        </w:rPr>
        <w:t>号广州银行大厦</w:t>
      </w:r>
      <w:r w:rsidR="00994622" w:rsidRPr="00286323">
        <w:rPr>
          <w:rFonts w:asciiTheme="minorEastAsia" w:eastAsiaTheme="minorEastAsia" w:hAnsiTheme="minorEastAsia"/>
          <w:color w:val="000000" w:themeColor="text1"/>
        </w:rPr>
        <w:t>40-43</w:t>
      </w:r>
      <w:r w:rsidR="00163D2D" w:rsidRPr="00286323">
        <w:rPr>
          <w:rFonts w:asciiTheme="minorEastAsia" w:eastAsiaTheme="minorEastAsia" w:hAnsiTheme="minorEastAsia" w:hint="eastAsia"/>
          <w:color w:val="000000" w:themeColor="text1"/>
        </w:rPr>
        <w:t>楼</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法定代表人：</w:t>
      </w:r>
      <w:r w:rsidR="002F4DEA" w:rsidRPr="00286323">
        <w:rPr>
          <w:rFonts w:asciiTheme="minorEastAsia" w:eastAsiaTheme="minorEastAsia" w:hAnsiTheme="minorEastAsia" w:cs="Arial" w:hint="eastAsia"/>
          <w:color w:val="000000" w:themeColor="text1"/>
        </w:rPr>
        <w:t>刘晓艳</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电话：4008818088</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传真：</w:t>
      </w:r>
      <w:r w:rsidRPr="00286323">
        <w:rPr>
          <w:rFonts w:asciiTheme="minorEastAsia" w:eastAsiaTheme="minorEastAsia" w:hAnsiTheme="minorEastAsia" w:cs="Arial" w:hint="eastAsia"/>
          <w:color w:val="000000" w:themeColor="text1"/>
        </w:rPr>
        <w:t>（</w:t>
      </w:r>
      <w:r w:rsidRPr="00286323">
        <w:rPr>
          <w:rFonts w:asciiTheme="minorEastAsia" w:eastAsiaTheme="minorEastAsia" w:hAnsiTheme="minorEastAsia" w:cs="Arial"/>
          <w:color w:val="000000" w:themeColor="text1"/>
        </w:rPr>
        <w:t>020</w:t>
      </w:r>
      <w:r w:rsidRPr="00286323">
        <w:rPr>
          <w:rFonts w:asciiTheme="minorEastAsia" w:eastAsiaTheme="minorEastAsia" w:hAnsiTheme="minorEastAsia" w:cs="Arial" w:hint="eastAsia"/>
          <w:color w:val="000000" w:themeColor="text1"/>
        </w:rPr>
        <w:t>）</w:t>
      </w:r>
      <w:r w:rsidRPr="00286323">
        <w:rPr>
          <w:rFonts w:asciiTheme="minorEastAsia" w:eastAsiaTheme="minorEastAsia" w:hAnsiTheme="minorEastAsia" w:cs="Arial"/>
          <w:color w:val="000000" w:themeColor="text1"/>
        </w:rPr>
        <w:t>38799249</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联系人：余贤高</w:t>
      </w:r>
    </w:p>
    <w:p w:rsidR="001A7CDB" w:rsidRPr="00286323" w:rsidRDefault="001A7CDB" w:rsidP="00F71D3B">
      <w:pPr>
        <w:pStyle w:val="20"/>
        <w:numPr>
          <w:ilvl w:val="0"/>
          <w:numId w:val="12"/>
        </w:numPr>
        <w:snapToGrid w:val="0"/>
        <w:spacing w:beforeLines="0" w:afterLines="0" w:line="360" w:lineRule="auto"/>
        <w:ind w:firstLineChars="0"/>
        <w:rPr>
          <w:rFonts w:asciiTheme="minorEastAsia" w:eastAsiaTheme="minorEastAsia" w:hAnsiTheme="minorEastAsia" w:cs="Arial"/>
          <w:b w:val="0"/>
          <w:bCs/>
          <w:color w:val="000000" w:themeColor="text1"/>
          <w:szCs w:val="21"/>
        </w:rPr>
      </w:pPr>
      <w:bookmarkStart w:id="19" w:name="_Toc38432430"/>
      <w:r w:rsidRPr="00286323">
        <w:rPr>
          <w:rFonts w:asciiTheme="minorEastAsia" w:eastAsiaTheme="minorEastAsia" w:hAnsiTheme="minorEastAsia" w:cs="Arial"/>
          <w:b w:val="0"/>
          <w:bCs/>
          <w:color w:val="000000" w:themeColor="text1"/>
          <w:szCs w:val="21"/>
        </w:rPr>
        <w:t>律师事务所和经办律师</w:t>
      </w:r>
      <w:bookmarkEnd w:id="19"/>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律师事务所：上海源泰律师事务所</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地址：上海浦东南路256号华夏银行大厦1405室</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负责人：廖海</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电话：（021）51150298</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传真：（021）51150398</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经办律师：梁丽金、刘佳</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联系人：廖海</w:t>
      </w:r>
    </w:p>
    <w:p w:rsidR="001A7CDB" w:rsidRPr="00286323" w:rsidRDefault="001A7CDB" w:rsidP="00F71D3B">
      <w:pPr>
        <w:pStyle w:val="20"/>
        <w:numPr>
          <w:ilvl w:val="0"/>
          <w:numId w:val="12"/>
        </w:numPr>
        <w:snapToGrid w:val="0"/>
        <w:spacing w:beforeLines="0" w:afterLines="0" w:line="360" w:lineRule="auto"/>
        <w:ind w:firstLineChars="0"/>
        <w:rPr>
          <w:rFonts w:asciiTheme="minorEastAsia" w:eastAsiaTheme="minorEastAsia" w:hAnsiTheme="minorEastAsia" w:cs="Arial"/>
          <w:b w:val="0"/>
          <w:bCs/>
          <w:color w:val="000000" w:themeColor="text1"/>
          <w:szCs w:val="21"/>
        </w:rPr>
      </w:pPr>
      <w:bookmarkStart w:id="20" w:name="_Toc38432431"/>
      <w:r w:rsidRPr="00286323">
        <w:rPr>
          <w:rFonts w:asciiTheme="minorEastAsia" w:eastAsiaTheme="minorEastAsia" w:hAnsiTheme="minorEastAsia" w:cs="Arial"/>
          <w:b w:val="0"/>
          <w:bCs/>
          <w:color w:val="000000" w:themeColor="text1"/>
          <w:szCs w:val="21"/>
        </w:rPr>
        <w:t>会计师事务所和经办注册会计师</w:t>
      </w:r>
      <w:bookmarkEnd w:id="20"/>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会计师事务所：安永华明会计师事务所</w:t>
      </w:r>
      <w:r w:rsidR="00994622" w:rsidRPr="00286323">
        <w:rPr>
          <w:rFonts w:asciiTheme="minorEastAsia" w:eastAsiaTheme="minorEastAsia" w:hAnsiTheme="minorEastAsia" w:cs="Arial" w:hint="eastAsia"/>
          <w:color w:val="000000" w:themeColor="text1"/>
        </w:rPr>
        <w:t>（特殊普通合伙）</w:t>
      </w:r>
    </w:p>
    <w:p w:rsidR="00994622" w:rsidRPr="00286323" w:rsidRDefault="00BE03ED"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主要经营场所</w:t>
      </w:r>
      <w:r w:rsidR="001A7CDB" w:rsidRPr="00286323">
        <w:rPr>
          <w:rFonts w:asciiTheme="minorEastAsia" w:eastAsiaTheme="minorEastAsia" w:hAnsiTheme="minorEastAsia" w:cs="Arial" w:hint="eastAsia"/>
          <w:color w:val="000000" w:themeColor="text1"/>
        </w:rPr>
        <w:t>：</w:t>
      </w:r>
      <w:r w:rsidR="00994622" w:rsidRPr="00286323">
        <w:rPr>
          <w:rFonts w:asciiTheme="minorEastAsia" w:eastAsiaTheme="minorEastAsia" w:hAnsiTheme="minorEastAsia" w:cs="Arial" w:hint="eastAsia"/>
          <w:color w:val="000000" w:themeColor="text1"/>
        </w:rPr>
        <w:t>北京市东城区东长安街</w:t>
      </w:r>
      <w:r w:rsidR="00994622" w:rsidRPr="00286323">
        <w:rPr>
          <w:rFonts w:asciiTheme="minorEastAsia" w:eastAsiaTheme="minorEastAsia" w:hAnsiTheme="minorEastAsia" w:cs="Arial"/>
          <w:color w:val="000000" w:themeColor="text1"/>
        </w:rPr>
        <w:t>1</w:t>
      </w:r>
      <w:r w:rsidR="00994622" w:rsidRPr="00286323">
        <w:rPr>
          <w:rFonts w:asciiTheme="minorEastAsia" w:eastAsiaTheme="minorEastAsia" w:hAnsiTheme="minorEastAsia" w:cs="Arial" w:hint="eastAsia"/>
          <w:color w:val="000000" w:themeColor="text1"/>
        </w:rPr>
        <w:t>号东方广场安永大楼</w:t>
      </w:r>
      <w:r w:rsidR="00994622" w:rsidRPr="00286323">
        <w:rPr>
          <w:rFonts w:asciiTheme="minorEastAsia" w:eastAsiaTheme="minorEastAsia" w:hAnsiTheme="minorEastAsia" w:cs="Arial"/>
          <w:color w:val="000000" w:themeColor="text1"/>
        </w:rPr>
        <w:t>17</w:t>
      </w:r>
      <w:r w:rsidR="00994622" w:rsidRPr="00286323">
        <w:rPr>
          <w:rFonts w:asciiTheme="minorEastAsia" w:eastAsiaTheme="minorEastAsia" w:hAnsiTheme="minorEastAsia" w:cs="Arial" w:hint="eastAsia"/>
          <w:color w:val="000000" w:themeColor="text1"/>
        </w:rPr>
        <w:t>层</w:t>
      </w:r>
      <w:r w:rsidR="00994622" w:rsidRPr="00286323">
        <w:rPr>
          <w:rFonts w:asciiTheme="minorEastAsia" w:eastAsiaTheme="minorEastAsia" w:hAnsiTheme="minorEastAsia" w:cs="Arial"/>
          <w:color w:val="000000" w:themeColor="text1"/>
        </w:rPr>
        <w:t>01-12</w:t>
      </w:r>
      <w:r w:rsidR="00994622" w:rsidRPr="00286323">
        <w:rPr>
          <w:rFonts w:asciiTheme="minorEastAsia" w:eastAsiaTheme="minorEastAsia" w:hAnsiTheme="minorEastAsia" w:cs="Arial" w:hint="eastAsia"/>
          <w:color w:val="000000" w:themeColor="text1"/>
        </w:rPr>
        <w:t>室</w:t>
      </w:r>
    </w:p>
    <w:p w:rsidR="0024471C" w:rsidRPr="00286323" w:rsidRDefault="00742F49"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执行事务合伙人</w:t>
      </w:r>
      <w:r w:rsidR="001A7CDB" w:rsidRPr="00286323">
        <w:rPr>
          <w:rFonts w:asciiTheme="minorEastAsia" w:eastAsiaTheme="minorEastAsia" w:hAnsiTheme="minorEastAsia" w:cs="Arial" w:hint="eastAsia"/>
          <w:color w:val="000000" w:themeColor="text1"/>
        </w:rPr>
        <w:t>：</w:t>
      </w:r>
      <w:r w:rsidR="0024471C" w:rsidRPr="00286323">
        <w:rPr>
          <w:rFonts w:asciiTheme="minorEastAsia" w:eastAsiaTheme="minorEastAsia" w:hAnsiTheme="minorEastAsia" w:cs="Arial" w:hint="eastAsia"/>
          <w:color w:val="000000" w:themeColor="text1"/>
        </w:rPr>
        <w:t>TonyMao毛鞍宁</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电话：(</w:t>
      </w:r>
      <w:r w:rsidRPr="00286323">
        <w:rPr>
          <w:rFonts w:asciiTheme="minorEastAsia" w:eastAsiaTheme="minorEastAsia" w:hAnsiTheme="minorEastAsia" w:cs="Arial"/>
          <w:color w:val="000000" w:themeColor="text1"/>
        </w:rPr>
        <w:t>010</w:t>
      </w:r>
      <w:r w:rsidRPr="00286323">
        <w:rPr>
          <w:rFonts w:asciiTheme="minorEastAsia" w:eastAsiaTheme="minorEastAsia" w:hAnsiTheme="minorEastAsia" w:cs="Arial" w:hint="eastAsia"/>
          <w:color w:val="000000" w:themeColor="text1"/>
        </w:rPr>
        <w:t>)</w:t>
      </w:r>
      <w:r w:rsidRPr="00286323">
        <w:rPr>
          <w:rFonts w:asciiTheme="minorEastAsia" w:eastAsiaTheme="minorEastAsia" w:hAnsiTheme="minorEastAsia" w:cs="Arial"/>
          <w:color w:val="000000" w:themeColor="text1"/>
        </w:rPr>
        <w:t>58153000</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传真：(</w:t>
      </w:r>
      <w:r w:rsidRPr="00286323">
        <w:rPr>
          <w:rFonts w:asciiTheme="minorEastAsia" w:eastAsiaTheme="minorEastAsia" w:hAnsiTheme="minorEastAsia" w:cs="Arial"/>
          <w:color w:val="000000" w:themeColor="text1"/>
        </w:rPr>
        <w:t>010</w:t>
      </w:r>
      <w:r w:rsidRPr="00286323">
        <w:rPr>
          <w:rFonts w:asciiTheme="minorEastAsia" w:eastAsiaTheme="minorEastAsia" w:hAnsiTheme="minorEastAsia" w:cs="Arial" w:hint="eastAsia"/>
          <w:color w:val="000000" w:themeColor="text1"/>
        </w:rPr>
        <w:t>)</w:t>
      </w:r>
      <w:r w:rsidRPr="00286323">
        <w:rPr>
          <w:rFonts w:asciiTheme="minorEastAsia" w:eastAsiaTheme="minorEastAsia" w:hAnsiTheme="minorEastAsia" w:cs="Arial"/>
          <w:color w:val="000000" w:themeColor="text1"/>
        </w:rPr>
        <w:t>85188298</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经办注册会计师：</w:t>
      </w:r>
      <w:r w:rsidR="00E41503" w:rsidRPr="00286323">
        <w:rPr>
          <w:rFonts w:asciiTheme="minorEastAsia" w:eastAsiaTheme="minorEastAsia" w:hAnsiTheme="minorEastAsia" w:cs="Arial" w:hint="eastAsia"/>
          <w:color w:val="000000" w:themeColor="text1"/>
        </w:rPr>
        <w:t>昌华</w:t>
      </w:r>
      <w:r w:rsidR="00D6151B" w:rsidRPr="00286323">
        <w:rPr>
          <w:rFonts w:asciiTheme="minorEastAsia" w:eastAsiaTheme="minorEastAsia" w:hAnsiTheme="minorEastAsia" w:cs="Arial" w:hint="eastAsia"/>
          <w:color w:val="000000" w:themeColor="text1"/>
        </w:rPr>
        <w:t>、马婧</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联系人：</w:t>
      </w:r>
      <w:r w:rsidR="00E41503" w:rsidRPr="00286323">
        <w:rPr>
          <w:rFonts w:asciiTheme="minorEastAsia" w:eastAsiaTheme="minorEastAsia" w:hAnsiTheme="minorEastAsia" w:cs="Arial" w:hint="eastAsia"/>
          <w:color w:val="000000" w:themeColor="text1"/>
        </w:rPr>
        <w:t>昌华</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p>
    <w:p w:rsidR="00A459CE" w:rsidRPr="00286323" w:rsidRDefault="0034078B" w:rsidP="00F71D3B">
      <w:pPr>
        <w:pStyle w:val="11"/>
        <w:numPr>
          <w:ilvl w:val="0"/>
          <w:numId w:val="9"/>
        </w:numPr>
        <w:snapToGrid w:val="0"/>
        <w:spacing w:beforeLines="0" w:afterLines="0" w:line="360" w:lineRule="auto"/>
        <w:ind w:firstLineChars="0"/>
        <w:rPr>
          <w:rFonts w:asciiTheme="minorEastAsia" w:eastAsiaTheme="minorEastAsia" w:hAnsiTheme="minorEastAsia" w:cs="Arial"/>
          <w:bCs/>
          <w:color w:val="000000" w:themeColor="text1"/>
          <w:szCs w:val="21"/>
        </w:rPr>
      </w:pPr>
      <w:bookmarkStart w:id="21" w:name="_Toc38432432"/>
      <w:bookmarkStart w:id="22" w:name="_Toc81922640"/>
      <w:r w:rsidRPr="00286323">
        <w:rPr>
          <w:rFonts w:asciiTheme="minorEastAsia" w:eastAsiaTheme="minorEastAsia" w:hAnsiTheme="minorEastAsia" w:cs="Arial" w:hint="eastAsia"/>
          <w:bCs/>
          <w:color w:val="000000" w:themeColor="text1"/>
          <w:szCs w:val="21"/>
        </w:rPr>
        <w:lastRenderedPageBreak/>
        <w:t>基金的历史沿革</w:t>
      </w:r>
      <w:bookmarkEnd w:id="21"/>
      <w:bookmarkEnd w:id="22"/>
    </w:p>
    <w:p w:rsidR="000B64F7" w:rsidRPr="00286323" w:rsidRDefault="000B64F7"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易方达沪深300量化增强证券投资基金由易方达量化衍伸股票型证券投资基金通过基金合同修订变更而来。</w:t>
      </w:r>
    </w:p>
    <w:p w:rsidR="000B64F7" w:rsidRPr="00286323" w:rsidRDefault="000B64F7"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易方达量化衍伸股票型证券投资基金经中国证监会《</w:t>
      </w:r>
      <w:r w:rsidR="00D858A7" w:rsidRPr="00286323">
        <w:rPr>
          <w:rFonts w:asciiTheme="minorEastAsia" w:eastAsiaTheme="minorEastAsia" w:hAnsiTheme="minorEastAsia"/>
          <w:color w:val="000000" w:themeColor="text1"/>
        </w:rPr>
        <w:t>关于核准易方达量化衍伸股票型证券投资基金募集的批复</w:t>
      </w:r>
      <w:r w:rsidRPr="00286323">
        <w:rPr>
          <w:rFonts w:asciiTheme="minorEastAsia" w:eastAsiaTheme="minorEastAsia" w:hAnsiTheme="minorEastAsia" w:hint="eastAsia"/>
          <w:color w:val="000000" w:themeColor="text1"/>
        </w:rPr>
        <w:t>》</w:t>
      </w:r>
      <w:r w:rsidR="00D858A7" w:rsidRPr="00286323">
        <w:rPr>
          <w:rFonts w:asciiTheme="minorEastAsia" w:eastAsiaTheme="minorEastAsia" w:hAnsiTheme="minorEastAsia"/>
          <w:color w:val="000000" w:themeColor="text1"/>
        </w:rPr>
        <w:t>（证监许可［201</w:t>
      </w:r>
      <w:r w:rsidR="00D858A7" w:rsidRPr="00286323">
        <w:rPr>
          <w:rFonts w:asciiTheme="minorEastAsia" w:eastAsiaTheme="minorEastAsia" w:hAnsiTheme="minorEastAsia" w:hint="eastAsia"/>
          <w:color w:val="000000" w:themeColor="text1"/>
        </w:rPr>
        <w:t>2</w:t>
      </w:r>
      <w:r w:rsidR="00D858A7" w:rsidRPr="00286323">
        <w:rPr>
          <w:rFonts w:asciiTheme="minorEastAsia" w:eastAsiaTheme="minorEastAsia" w:hAnsiTheme="minorEastAsia"/>
          <w:color w:val="000000" w:themeColor="text1"/>
        </w:rPr>
        <w:t>］</w:t>
      </w:r>
      <w:r w:rsidR="00D858A7" w:rsidRPr="00286323">
        <w:rPr>
          <w:rFonts w:asciiTheme="minorEastAsia" w:eastAsiaTheme="minorEastAsia" w:hAnsiTheme="minorEastAsia" w:hint="eastAsia"/>
          <w:color w:val="000000" w:themeColor="text1"/>
        </w:rPr>
        <w:t>627</w:t>
      </w:r>
      <w:r w:rsidR="00D858A7" w:rsidRPr="00286323">
        <w:rPr>
          <w:rFonts w:asciiTheme="minorEastAsia" w:eastAsiaTheme="minorEastAsia" w:hAnsiTheme="minorEastAsia"/>
          <w:color w:val="000000" w:themeColor="text1"/>
        </w:rPr>
        <w:t>号）</w:t>
      </w:r>
      <w:r w:rsidRPr="00286323">
        <w:rPr>
          <w:rFonts w:asciiTheme="minorEastAsia" w:eastAsiaTheme="minorEastAsia" w:hAnsiTheme="minorEastAsia" w:hint="eastAsia"/>
          <w:color w:val="000000" w:themeColor="text1"/>
        </w:rPr>
        <w:t>批准募集，基金管理人为易方达基金管理有限公司，基金托管人为中国建设银行股份有限公司。</w:t>
      </w:r>
    </w:p>
    <w:p w:rsidR="000B64F7" w:rsidRPr="00286323" w:rsidRDefault="000B64F7"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易方达量化衍伸股票型证券投资基金自20</w:t>
      </w:r>
      <w:r w:rsidR="005811F4" w:rsidRPr="00286323">
        <w:rPr>
          <w:rFonts w:asciiTheme="minorEastAsia" w:eastAsiaTheme="minorEastAsia" w:hAnsiTheme="minorEastAsia" w:hint="eastAsia"/>
          <w:color w:val="000000" w:themeColor="text1"/>
        </w:rPr>
        <w:t>12</w:t>
      </w:r>
      <w:r w:rsidRPr="00286323">
        <w:rPr>
          <w:rFonts w:asciiTheme="minorEastAsia" w:eastAsiaTheme="minorEastAsia" w:hAnsiTheme="minorEastAsia" w:hint="eastAsia"/>
          <w:color w:val="000000" w:themeColor="text1"/>
        </w:rPr>
        <w:t>年</w:t>
      </w:r>
      <w:r w:rsidR="005811F4" w:rsidRPr="00286323">
        <w:rPr>
          <w:rFonts w:asciiTheme="minorEastAsia" w:eastAsiaTheme="minorEastAsia" w:hAnsiTheme="minorEastAsia" w:hint="eastAsia"/>
          <w:color w:val="000000" w:themeColor="text1"/>
        </w:rPr>
        <w:t>6</w:t>
      </w:r>
      <w:r w:rsidRPr="00286323">
        <w:rPr>
          <w:rFonts w:asciiTheme="minorEastAsia" w:eastAsiaTheme="minorEastAsia" w:hAnsiTheme="minorEastAsia" w:hint="eastAsia"/>
          <w:color w:val="000000" w:themeColor="text1"/>
        </w:rPr>
        <w:t>月</w:t>
      </w:r>
      <w:r w:rsidR="005811F4" w:rsidRPr="00286323">
        <w:rPr>
          <w:rFonts w:asciiTheme="minorEastAsia" w:eastAsiaTheme="minorEastAsia" w:hAnsiTheme="minorEastAsia" w:hint="eastAsia"/>
          <w:color w:val="000000" w:themeColor="text1"/>
        </w:rPr>
        <w:t>25</w:t>
      </w:r>
      <w:r w:rsidRPr="00286323">
        <w:rPr>
          <w:rFonts w:asciiTheme="minorEastAsia" w:eastAsiaTheme="minorEastAsia" w:hAnsiTheme="minorEastAsia" w:hint="eastAsia"/>
          <w:color w:val="000000" w:themeColor="text1"/>
        </w:rPr>
        <w:t>日至20</w:t>
      </w:r>
      <w:r w:rsidR="005811F4" w:rsidRPr="00286323">
        <w:rPr>
          <w:rFonts w:asciiTheme="minorEastAsia" w:eastAsiaTheme="minorEastAsia" w:hAnsiTheme="minorEastAsia" w:hint="eastAsia"/>
          <w:color w:val="000000" w:themeColor="text1"/>
        </w:rPr>
        <w:t>12</w:t>
      </w:r>
      <w:r w:rsidRPr="00286323">
        <w:rPr>
          <w:rFonts w:asciiTheme="minorEastAsia" w:eastAsiaTheme="minorEastAsia" w:hAnsiTheme="minorEastAsia" w:hint="eastAsia"/>
          <w:color w:val="000000" w:themeColor="text1"/>
        </w:rPr>
        <w:t>年</w:t>
      </w:r>
      <w:r w:rsidR="005811F4" w:rsidRPr="00286323">
        <w:rPr>
          <w:rFonts w:asciiTheme="minorEastAsia" w:eastAsiaTheme="minorEastAsia" w:hAnsiTheme="minorEastAsia" w:hint="eastAsia"/>
          <w:color w:val="000000" w:themeColor="text1"/>
        </w:rPr>
        <w:t>7</w:t>
      </w:r>
      <w:r w:rsidRPr="00286323">
        <w:rPr>
          <w:rFonts w:asciiTheme="minorEastAsia" w:eastAsiaTheme="minorEastAsia" w:hAnsiTheme="minorEastAsia" w:hint="eastAsia"/>
          <w:color w:val="000000" w:themeColor="text1"/>
        </w:rPr>
        <w:t>月</w:t>
      </w:r>
      <w:r w:rsidR="005811F4" w:rsidRPr="00286323">
        <w:rPr>
          <w:rFonts w:asciiTheme="minorEastAsia" w:eastAsiaTheme="minorEastAsia" w:hAnsiTheme="minorEastAsia" w:hint="eastAsia"/>
          <w:color w:val="000000" w:themeColor="text1"/>
        </w:rPr>
        <w:t>3</w:t>
      </w:r>
      <w:r w:rsidRPr="00286323">
        <w:rPr>
          <w:rFonts w:asciiTheme="minorEastAsia" w:eastAsiaTheme="minorEastAsia" w:hAnsiTheme="minorEastAsia" w:hint="eastAsia"/>
          <w:color w:val="000000" w:themeColor="text1"/>
        </w:rPr>
        <w:t>日进行公开募集，募集结束后基金管理人向中国证监会办理备案手续。经中国证监会书面确认，《易方达量化衍伸股票型证券投资基金基金合同》于20</w:t>
      </w:r>
      <w:r w:rsidR="005811F4" w:rsidRPr="00286323">
        <w:rPr>
          <w:rFonts w:asciiTheme="minorEastAsia" w:eastAsiaTheme="minorEastAsia" w:hAnsiTheme="minorEastAsia" w:hint="eastAsia"/>
          <w:color w:val="000000" w:themeColor="text1"/>
        </w:rPr>
        <w:t>12</w:t>
      </w:r>
      <w:r w:rsidRPr="00286323">
        <w:rPr>
          <w:rFonts w:asciiTheme="minorEastAsia" w:eastAsiaTheme="minorEastAsia" w:hAnsiTheme="minorEastAsia" w:hint="eastAsia"/>
          <w:color w:val="000000" w:themeColor="text1"/>
        </w:rPr>
        <w:t>年</w:t>
      </w:r>
      <w:r w:rsidR="005811F4" w:rsidRPr="00286323">
        <w:rPr>
          <w:rFonts w:asciiTheme="minorEastAsia" w:eastAsiaTheme="minorEastAsia" w:hAnsiTheme="minorEastAsia" w:hint="eastAsia"/>
          <w:color w:val="000000" w:themeColor="text1"/>
        </w:rPr>
        <w:t>7</w:t>
      </w:r>
      <w:r w:rsidRPr="00286323">
        <w:rPr>
          <w:rFonts w:asciiTheme="minorEastAsia" w:eastAsiaTheme="minorEastAsia" w:hAnsiTheme="minorEastAsia" w:hint="eastAsia"/>
          <w:color w:val="000000" w:themeColor="text1"/>
        </w:rPr>
        <w:t>月</w:t>
      </w:r>
      <w:r w:rsidR="005811F4" w:rsidRPr="00286323">
        <w:rPr>
          <w:rFonts w:asciiTheme="minorEastAsia" w:eastAsiaTheme="minorEastAsia" w:hAnsiTheme="minorEastAsia" w:hint="eastAsia"/>
          <w:color w:val="000000" w:themeColor="text1"/>
        </w:rPr>
        <w:t>5</w:t>
      </w:r>
      <w:r w:rsidRPr="00286323">
        <w:rPr>
          <w:rFonts w:asciiTheme="minorEastAsia" w:eastAsiaTheme="minorEastAsia" w:hAnsiTheme="minorEastAsia" w:hint="eastAsia"/>
          <w:color w:val="000000" w:themeColor="text1"/>
        </w:rPr>
        <w:t>日生效。</w:t>
      </w:r>
    </w:p>
    <w:p w:rsidR="000B64F7" w:rsidRPr="00286323" w:rsidRDefault="00CD4B3A"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hint="eastAsia"/>
          <w:color w:val="000000" w:themeColor="text1"/>
        </w:rPr>
        <w:t>2013年4月1日</w:t>
      </w:r>
      <w:r w:rsidRPr="00286323">
        <w:rPr>
          <w:rFonts w:asciiTheme="minorEastAsia" w:eastAsiaTheme="minorEastAsia" w:hAnsiTheme="minorEastAsia"/>
          <w:color w:val="000000" w:themeColor="text1"/>
        </w:rPr>
        <w:t>至</w:t>
      </w:r>
      <w:r w:rsidRPr="00286323">
        <w:rPr>
          <w:rFonts w:asciiTheme="minorEastAsia" w:eastAsiaTheme="minorEastAsia" w:hAnsiTheme="minorEastAsia" w:hint="eastAsia"/>
          <w:color w:val="000000" w:themeColor="text1"/>
        </w:rPr>
        <w:t>2013年4月30日，</w:t>
      </w:r>
      <w:r w:rsidR="000B64F7" w:rsidRPr="00286323">
        <w:rPr>
          <w:rFonts w:asciiTheme="minorEastAsia" w:eastAsiaTheme="minorEastAsia" w:hAnsiTheme="minorEastAsia" w:hint="eastAsia"/>
          <w:color w:val="000000" w:themeColor="text1"/>
        </w:rPr>
        <w:t>易方达量化衍伸股票型证券投资基金以通讯方式召开基金份额持有人大会，会议审议通过了《</w:t>
      </w:r>
      <w:r w:rsidR="005811F4" w:rsidRPr="00286323">
        <w:rPr>
          <w:rFonts w:asciiTheme="minorEastAsia" w:eastAsiaTheme="minorEastAsia" w:hAnsiTheme="minorEastAsia" w:hint="eastAsia"/>
          <w:color w:val="000000" w:themeColor="text1"/>
        </w:rPr>
        <w:t>关于易方达量化衍伸股票型证券投资基金变更基金的投资及其他相关事项的议案</w:t>
      </w:r>
      <w:r w:rsidR="000B64F7" w:rsidRPr="00286323">
        <w:rPr>
          <w:rFonts w:asciiTheme="minorEastAsia" w:eastAsiaTheme="minorEastAsia" w:hAnsiTheme="minorEastAsia" w:hint="eastAsia"/>
          <w:color w:val="000000" w:themeColor="text1"/>
        </w:rPr>
        <w:t>》，同意易方达量化衍伸股票型证券投资基金变更</w:t>
      </w:r>
      <w:r w:rsidR="005811F4" w:rsidRPr="00286323">
        <w:rPr>
          <w:rFonts w:asciiTheme="minorEastAsia" w:eastAsiaTheme="minorEastAsia" w:hAnsiTheme="minorEastAsia" w:hint="eastAsia"/>
          <w:color w:val="000000" w:themeColor="text1"/>
        </w:rPr>
        <w:t>基金的</w:t>
      </w:r>
      <w:r w:rsidR="000B64F7" w:rsidRPr="00286323">
        <w:rPr>
          <w:rFonts w:asciiTheme="minorEastAsia" w:eastAsiaTheme="minorEastAsia" w:hAnsiTheme="minorEastAsia" w:hint="eastAsia"/>
          <w:color w:val="000000" w:themeColor="text1"/>
        </w:rPr>
        <w:t>投资及其他相关事项，将易方达量化衍伸股票型证券投资基金变更为易方达沪深300量化增强证券投资基金，按照相关法律法规及中国证监会的有关规定对</w:t>
      </w:r>
      <w:r w:rsidR="00025324" w:rsidRPr="00286323">
        <w:rPr>
          <w:rFonts w:asciiTheme="minorEastAsia" w:eastAsiaTheme="minorEastAsia" w:hAnsiTheme="minorEastAsia" w:hint="eastAsia"/>
          <w:color w:val="000000" w:themeColor="text1"/>
        </w:rPr>
        <w:t>本基金的名称、投资目标、投资范围、投资策略、业绩比较基准、基金的费用等条款，以及根据业务实践相应修改基金份额持有人大会、基金的信息披露及其他部分条款。</w:t>
      </w:r>
      <w:r w:rsidR="000B64F7" w:rsidRPr="00286323">
        <w:rPr>
          <w:rFonts w:asciiTheme="minorEastAsia" w:eastAsiaTheme="minorEastAsia" w:hAnsiTheme="minorEastAsia" w:hint="eastAsia"/>
          <w:color w:val="000000" w:themeColor="text1"/>
        </w:rPr>
        <w:t>上述基金份额持有人大会决定事项已经中国证监会于</w:t>
      </w:r>
      <w:r w:rsidR="0079218B" w:rsidRPr="00286323">
        <w:rPr>
          <w:rFonts w:asciiTheme="minorEastAsia" w:eastAsiaTheme="minorEastAsia" w:hAnsiTheme="minorEastAsia" w:hint="eastAsia"/>
          <w:color w:val="000000" w:themeColor="text1"/>
        </w:rPr>
        <w:t>2013</w:t>
      </w:r>
      <w:r w:rsidR="000B64F7" w:rsidRPr="00286323">
        <w:rPr>
          <w:rFonts w:asciiTheme="minorEastAsia" w:eastAsiaTheme="minorEastAsia" w:hAnsiTheme="minorEastAsia" w:hint="eastAsia"/>
          <w:color w:val="000000" w:themeColor="text1"/>
        </w:rPr>
        <w:t>年</w:t>
      </w:r>
      <w:r w:rsidR="0079218B" w:rsidRPr="00286323">
        <w:rPr>
          <w:rFonts w:asciiTheme="minorEastAsia" w:eastAsiaTheme="minorEastAsia" w:hAnsiTheme="minorEastAsia" w:hint="eastAsia"/>
          <w:color w:val="000000" w:themeColor="text1"/>
        </w:rPr>
        <w:t>6</w:t>
      </w:r>
      <w:r w:rsidR="000B64F7" w:rsidRPr="00286323">
        <w:rPr>
          <w:rFonts w:asciiTheme="minorEastAsia" w:eastAsiaTheme="minorEastAsia" w:hAnsiTheme="minorEastAsia" w:hint="eastAsia"/>
          <w:color w:val="000000" w:themeColor="text1"/>
        </w:rPr>
        <w:t>月</w:t>
      </w:r>
      <w:r w:rsidR="0079218B" w:rsidRPr="00286323">
        <w:rPr>
          <w:rFonts w:asciiTheme="minorEastAsia" w:eastAsiaTheme="minorEastAsia" w:hAnsiTheme="minorEastAsia" w:hint="eastAsia"/>
          <w:color w:val="000000" w:themeColor="text1"/>
        </w:rPr>
        <w:t>7</w:t>
      </w:r>
      <w:r w:rsidR="000B64F7" w:rsidRPr="00286323">
        <w:rPr>
          <w:rFonts w:asciiTheme="minorEastAsia" w:eastAsiaTheme="minorEastAsia" w:hAnsiTheme="minorEastAsia" w:hint="eastAsia"/>
          <w:color w:val="000000" w:themeColor="text1"/>
        </w:rPr>
        <w:t>日核准生效，自该日起，《易方达沪深300量化增强证券投资基金基金合同》生效，并取代原《易方达量化衍伸股票型证券投资基金基金合同》，易方达量化衍伸股票型证券投资基金正式变更为易方达沪深300量化增强证券投资基金，本基金当事人将按照《易方达沪深300量化增强证券投资基金基金合同》享有权利并承担义务。</w:t>
      </w:r>
    </w:p>
    <w:p w:rsidR="001A7CDB" w:rsidRPr="00286323" w:rsidRDefault="001A7CDB" w:rsidP="00F71D3B">
      <w:pPr>
        <w:pStyle w:val="11"/>
        <w:numPr>
          <w:ilvl w:val="0"/>
          <w:numId w:val="9"/>
        </w:numPr>
        <w:snapToGrid w:val="0"/>
        <w:spacing w:beforeLines="0" w:afterLines="0" w:line="360" w:lineRule="auto"/>
        <w:ind w:firstLineChars="0"/>
        <w:rPr>
          <w:rFonts w:asciiTheme="minorEastAsia" w:eastAsiaTheme="minorEastAsia" w:hAnsiTheme="minorEastAsia" w:cs="Arial"/>
          <w:bCs/>
          <w:color w:val="000000" w:themeColor="text1"/>
          <w:szCs w:val="21"/>
        </w:rPr>
      </w:pPr>
      <w:bookmarkStart w:id="23" w:name="_Toc353180307"/>
      <w:bookmarkStart w:id="24" w:name="_Toc81922641"/>
      <w:bookmarkEnd w:id="23"/>
      <w:r w:rsidRPr="00286323">
        <w:rPr>
          <w:rFonts w:asciiTheme="minorEastAsia" w:eastAsiaTheme="minorEastAsia" w:hAnsiTheme="minorEastAsia" w:cs="Arial" w:hint="eastAsia"/>
          <w:bCs/>
          <w:color w:val="000000" w:themeColor="text1"/>
          <w:szCs w:val="21"/>
        </w:rPr>
        <w:lastRenderedPageBreak/>
        <w:t>基金</w:t>
      </w:r>
      <w:r w:rsidR="005811F4" w:rsidRPr="00286323">
        <w:rPr>
          <w:rFonts w:asciiTheme="minorEastAsia" w:eastAsiaTheme="minorEastAsia" w:hAnsiTheme="minorEastAsia" w:cs="Arial" w:hint="eastAsia"/>
          <w:bCs/>
          <w:color w:val="000000" w:themeColor="text1"/>
          <w:szCs w:val="21"/>
        </w:rPr>
        <w:t>的存续</w:t>
      </w:r>
      <w:bookmarkEnd w:id="24"/>
    </w:p>
    <w:p w:rsidR="001A7CDB" w:rsidRPr="00286323" w:rsidRDefault="005811F4" w:rsidP="00F71D3B">
      <w:pPr>
        <w:pStyle w:val="20"/>
        <w:keepNext w:val="0"/>
        <w:keepLines w:val="0"/>
        <w:numPr>
          <w:ilvl w:val="0"/>
          <w:numId w:val="14"/>
        </w:numPr>
        <w:snapToGrid w:val="0"/>
        <w:spacing w:beforeLines="0" w:afterLines="0" w:line="360" w:lineRule="auto"/>
        <w:ind w:firstLineChars="0"/>
        <w:rPr>
          <w:rFonts w:asciiTheme="minorEastAsia" w:eastAsiaTheme="minorEastAsia" w:hAnsiTheme="minorEastAsia" w:cs="Arial"/>
          <w:b w:val="0"/>
          <w:color w:val="000000" w:themeColor="text1"/>
          <w:kern w:val="0"/>
          <w:sz w:val="21"/>
          <w:szCs w:val="21"/>
        </w:rPr>
      </w:pPr>
      <w:bookmarkStart w:id="25" w:name="_Toc38432438"/>
      <w:r w:rsidRPr="00286323">
        <w:rPr>
          <w:rFonts w:asciiTheme="minorEastAsia" w:eastAsiaTheme="minorEastAsia" w:hAnsiTheme="minorEastAsia" w:cs="仿宋_GB2312" w:hint="eastAsia"/>
          <w:b w:val="0"/>
          <w:bCs/>
          <w:color w:val="000000" w:themeColor="text1"/>
          <w:kern w:val="0"/>
          <w:sz w:val="21"/>
          <w:szCs w:val="21"/>
        </w:rPr>
        <w:t>基金份额的变更登记</w:t>
      </w:r>
    </w:p>
    <w:p w:rsidR="001A7CDB" w:rsidRPr="00286323" w:rsidRDefault="005811F4" w:rsidP="00F71D3B">
      <w:pPr>
        <w:snapToGrid w:val="0"/>
        <w:spacing w:line="360" w:lineRule="auto"/>
        <w:ind w:firstLineChars="300" w:firstLine="630"/>
        <w:rPr>
          <w:rFonts w:asciiTheme="minorEastAsia" w:eastAsiaTheme="minorEastAsia" w:hAnsiTheme="minorEastAsia" w:cs="Arial"/>
          <w:color w:val="000000" w:themeColor="text1"/>
        </w:rPr>
      </w:pPr>
      <w:r w:rsidRPr="00286323">
        <w:rPr>
          <w:rFonts w:asciiTheme="minorEastAsia" w:eastAsiaTheme="minorEastAsia" w:hAnsiTheme="minorEastAsia" w:hint="eastAsia"/>
          <w:bCs/>
          <w:color w:val="000000" w:themeColor="text1"/>
        </w:rPr>
        <w:t>基金合同生效后，本基金注册登记机构易方达基金管理有限公司进行本基金份额的更名以及必要信息的变更。</w:t>
      </w:r>
    </w:p>
    <w:p w:rsidR="001A7CDB" w:rsidRPr="00286323" w:rsidRDefault="001A7CDB" w:rsidP="00F71D3B">
      <w:pPr>
        <w:pStyle w:val="20"/>
        <w:keepNext w:val="0"/>
        <w:keepLines w:val="0"/>
        <w:numPr>
          <w:ilvl w:val="0"/>
          <w:numId w:val="14"/>
        </w:numPr>
        <w:snapToGrid w:val="0"/>
        <w:spacing w:beforeLines="0" w:afterLines="0" w:line="360" w:lineRule="auto"/>
        <w:ind w:firstLineChars="0"/>
        <w:rPr>
          <w:rFonts w:asciiTheme="minorEastAsia" w:eastAsiaTheme="minorEastAsia" w:hAnsiTheme="minorEastAsia" w:cs="Arial"/>
          <w:b w:val="0"/>
          <w:color w:val="000000" w:themeColor="text1"/>
          <w:sz w:val="21"/>
          <w:szCs w:val="21"/>
        </w:rPr>
      </w:pPr>
      <w:r w:rsidRPr="00286323">
        <w:rPr>
          <w:rFonts w:asciiTheme="minorEastAsia" w:eastAsiaTheme="minorEastAsia" w:hAnsiTheme="minorEastAsia" w:cs="Arial"/>
          <w:b w:val="0"/>
          <w:color w:val="000000" w:themeColor="text1"/>
          <w:sz w:val="21"/>
          <w:szCs w:val="21"/>
        </w:rPr>
        <w:t>基金存续期内的基金份额持有人数量和资产规模</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《基金合同》生效后，基金份额持有人数量不满</w:t>
      </w:r>
      <w:r w:rsidRPr="00286323">
        <w:rPr>
          <w:rFonts w:asciiTheme="minorEastAsia" w:eastAsiaTheme="minorEastAsia" w:hAnsiTheme="minorEastAsia" w:hint="eastAsia"/>
          <w:bCs/>
          <w:color w:val="000000" w:themeColor="text1"/>
        </w:rPr>
        <w:t>200</w:t>
      </w:r>
      <w:r w:rsidRPr="00286323">
        <w:rPr>
          <w:rFonts w:asciiTheme="minorEastAsia" w:eastAsiaTheme="minorEastAsia" w:hAnsiTheme="minorEastAsia"/>
          <w:bCs/>
          <w:color w:val="000000" w:themeColor="text1"/>
        </w:rPr>
        <w:t>人或者基金资产净值低于</w:t>
      </w:r>
      <w:r w:rsidRPr="00286323">
        <w:rPr>
          <w:rFonts w:asciiTheme="minorEastAsia" w:eastAsiaTheme="minorEastAsia" w:hAnsiTheme="minorEastAsia" w:hint="eastAsia"/>
          <w:bCs/>
          <w:color w:val="000000" w:themeColor="text1"/>
        </w:rPr>
        <w:t>5000万</w:t>
      </w:r>
      <w:r w:rsidRPr="00286323">
        <w:rPr>
          <w:rFonts w:asciiTheme="minorEastAsia" w:eastAsiaTheme="minorEastAsia" w:hAnsiTheme="minorEastAsia"/>
          <w:bCs/>
          <w:color w:val="000000" w:themeColor="text1"/>
        </w:rPr>
        <w:t>元的，基金管理人应当及时报告中国证监会；连续</w:t>
      </w:r>
      <w:r w:rsidRPr="00286323">
        <w:rPr>
          <w:rFonts w:asciiTheme="minorEastAsia" w:eastAsiaTheme="minorEastAsia" w:hAnsiTheme="minorEastAsia" w:hint="eastAsia"/>
          <w:bCs/>
          <w:color w:val="000000" w:themeColor="text1"/>
        </w:rPr>
        <w:t>20</w:t>
      </w:r>
      <w:r w:rsidRPr="00286323">
        <w:rPr>
          <w:rFonts w:asciiTheme="minorEastAsia" w:eastAsiaTheme="minorEastAsia" w:hAnsiTheme="minorEastAsia"/>
          <w:bCs/>
          <w:color w:val="000000" w:themeColor="text1"/>
        </w:rPr>
        <w:t>个工作日出现前述情形的，基金管理人应当向中国证监会说明原因并报送解决方案。</w:t>
      </w:r>
    </w:p>
    <w:p w:rsidR="001A7CDB" w:rsidRPr="00286323" w:rsidRDefault="001A7CDB" w:rsidP="00F71D3B">
      <w:pPr>
        <w:snapToGrid w:val="0"/>
        <w:spacing w:line="360" w:lineRule="auto"/>
        <w:ind w:firstLineChars="202" w:firstLine="424"/>
        <w:rPr>
          <w:rFonts w:asciiTheme="minorEastAsia" w:eastAsiaTheme="minorEastAsia" w:hAnsiTheme="minorEastAsia" w:cs="Arial"/>
          <w:color w:val="000000" w:themeColor="text1"/>
        </w:rPr>
      </w:pPr>
      <w:r w:rsidRPr="00286323">
        <w:rPr>
          <w:rFonts w:asciiTheme="minorEastAsia" w:eastAsiaTheme="minorEastAsia" w:hAnsiTheme="minorEastAsia"/>
          <w:bCs/>
          <w:color w:val="000000" w:themeColor="text1"/>
        </w:rPr>
        <w:t>法律法规另有规定时，从其规定。</w:t>
      </w:r>
    </w:p>
    <w:p w:rsidR="001A7CDB" w:rsidRPr="00286323" w:rsidRDefault="001A7CDB" w:rsidP="00F71D3B">
      <w:pPr>
        <w:snapToGrid w:val="0"/>
        <w:spacing w:line="360" w:lineRule="auto"/>
        <w:rPr>
          <w:rFonts w:asciiTheme="minorEastAsia" w:eastAsiaTheme="minorEastAsia" w:hAnsiTheme="minorEastAsia" w:cs="Arial"/>
          <w:color w:val="000000" w:themeColor="text1"/>
        </w:rPr>
      </w:pPr>
    </w:p>
    <w:p w:rsidR="001A7CDB" w:rsidRPr="00286323" w:rsidRDefault="001A7CDB" w:rsidP="00F71D3B">
      <w:pPr>
        <w:snapToGrid w:val="0"/>
        <w:spacing w:line="360" w:lineRule="auto"/>
        <w:rPr>
          <w:rFonts w:asciiTheme="minorEastAsia" w:eastAsiaTheme="minorEastAsia" w:hAnsiTheme="minorEastAsia" w:cs="Arial"/>
          <w:color w:val="000000" w:themeColor="text1"/>
        </w:rPr>
      </w:pPr>
    </w:p>
    <w:p w:rsidR="00A459CE" w:rsidRPr="00286323" w:rsidRDefault="001A7CDB" w:rsidP="00F71D3B">
      <w:pPr>
        <w:pStyle w:val="11"/>
        <w:numPr>
          <w:ilvl w:val="0"/>
          <w:numId w:val="9"/>
        </w:numPr>
        <w:snapToGrid w:val="0"/>
        <w:spacing w:beforeLines="0" w:afterLines="0" w:line="360" w:lineRule="auto"/>
        <w:ind w:firstLineChars="0"/>
        <w:rPr>
          <w:rFonts w:asciiTheme="minorEastAsia" w:eastAsiaTheme="minorEastAsia" w:hAnsiTheme="minorEastAsia" w:cs="Arial"/>
          <w:bCs/>
          <w:color w:val="000000" w:themeColor="text1"/>
          <w:szCs w:val="21"/>
        </w:rPr>
      </w:pPr>
      <w:bookmarkStart w:id="26" w:name="_Toc81922642"/>
      <w:bookmarkEnd w:id="25"/>
      <w:r w:rsidRPr="00286323">
        <w:rPr>
          <w:rFonts w:asciiTheme="minorEastAsia" w:eastAsiaTheme="minorEastAsia" w:hAnsiTheme="minorEastAsia" w:cs="Arial" w:hint="eastAsia"/>
          <w:bCs/>
          <w:color w:val="000000" w:themeColor="text1"/>
          <w:szCs w:val="21"/>
        </w:rPr>
        <w:lastRenderedPageBreak/>
        <w:t>基金份额的申购、赎回</w:t>
      </w:r>
      <w:bookmarkEnd w:id="26"/>
    </w:p>
    <w:p w:rsidR="001A7CDB" w:rsidRPr="00286323" w:rsidRDefault="001A7CDB" w:rsidP="00F71D3B">
      <w:pPr>
        <w:pStyle w:val="20"/>
        <w:numPr>
          <w:ilvl w:val="0"/>
          <w:numId w:val="15"/>
        </w:numPr>
        <w:snapToGrid w:val="0"/>
        <w:spacing w:beforeLines="0" w:afterLines="0" w:line="360" w:lineRule="auto"/>
        <w:ind w:firstLineChars="0"/>
        <w:rPr>
          <w:rFonts w:asciiTheme="minorEastAsia" w:eastAsiaTheme="minorEastAsia" w:hAnsiTheme="minorEastAsia" w:cs="Arial"/>
          <w:b w:val="0"/>
          <w:color w:val="000000" w:themeColor="text1"/>
          <w:sz w:val="21"/>
          <w:szCs w:val="21"/>
        </w:rPr>
      </w:pPr>
      <w:r w:rsidRPr="00286323">
        <w:rPr>
          <w:rFonts w:asciiTheme="minorEastAsia" w:eastAsiaTheme="minorEastAsia" w:hAnsiTheme="minorEastAsia" w:cs="Arial"/>
          <w:b w:val="0"/>
          <w:color w:val="000000" w:themeColor="text1"/>
          <w:sz w:val="21"/>
          <w:szCs w:val="21"/>
        </w:rPr>
        <w:t>基金投资人范围</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符合法律法规规定的个人投资者、机构投资者、合格境外机构投资者和法律法规或中国证监会允许购买证券投资基金的其他投资者。</w:t>
      </w:r>
    </w:p>
    <w:p w:rsidR="001A7CDB" w:rsidRPr="00286323" w:rsidRDefault="001A7CDB" w:rsidP="00F71D3B">
      <w:pPr>
        <w:pStyle w:val="20"/>
        <w:numPr>
          <w:ilvl w:val="0"/>
          <w:numId w:val="15"/>
        </w:numPr>
        <w:snapToGrid w:val="0"/>
        <w:spacing w:beforeLines="0" w:afterLines="0" w:line="360" w:lineRule="auto"/>
        <w:ind w:firstLineChars="0"/>
        <w:rPr>
          <w:rFonts w:asciiTheme="minorEastAsia" w:eastAsiaTheme="minorEastAsia" w:hAnsiTheme="minorEastAsia" w:cs="Arial"/>
          <w:b w:val="0"/>
          <w:color w:val="000000" w:themeColor="text1"/>
          <w:sz w:val="21"/>
          <w:szCs w:val="21"/>
        </w:rPr>
      </w:pPr>
      <w:r w:rsidRPr="00286323">
        <w:rPr>
          <w:rFonts w:asciiTheme="minorEastAsia" w:eastAsiaTheme="minorEastAsia" w:hAnsiTheme="minorEastAsia" w:cs="Arial"/>
          <w:b w:val="0"/>
          <w:color w:val="000000" w:themeColor="text1"/>
          <w:sz w:val="21"/>
          <w:szCs w:val="21"/>
        </w:rPr>
        <w:t>申购、赎回的场所</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w:t>
      </w:r>
      <w:r w:rsidRPr="00286323">
        <w:rPr>
          <w:rFonts w:asciiTheme="minorEastAsia" w:eastAsiaTheme="minorEastAsia" w:hAnsiTheme="minorEastAsia" w:cs="Arial"/>
          <w:color w:val="000000" w:themeColor="text1"/>
        </w:rPr>
        <w:t>基金管理人的直销</w:t>
      </w:r>
      <w:r w:rsidR="003E2237" w:rsidRPr="00286323">
        <w:rPr>
          <w:rFonts w:asciiTheme="minorEastAsia" w:eastAsiaTheme="minorEastAsia" w:hAnsiTheme="minorEastAsia" w:hint="eastAsia"/>
          <w:color w:val="000000" w:themeColor="text1"/>
        </w:rPr>
        <w:t>中心</w:t>
      </w:r>
      <w:r w:rsidRPr="00286323">
        <w:rPr>
          <w:rFonts w:asciiTheme="minorEastAsia" w:eastAsiaTheme="minorEastAsia" w:hAnsiTheme="minorEastAsia" w:cs="Arial"/>
          <w:color w:val="000000" w:themeColor="text1"/>
        </w:rPr>
        <w:t>及网上交易系统；</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2、</w:t>
      </w:r>
      <w:r w:rsidRPr="00286323">
        <w:rPr>
          <w:rFonts w:asciiTheme="minorEastAsia" w:eastAsiaTheme="minorEastAsia" w:hAnsiTheme="minorEastAsia" w:cs="Arial"/>
          <w:color w:val="000000" w:themeColor="text1"/>
        </w:rPr>
        <w:t>各</w:t>
      </w:r>
      <w:r w:rsidR="00571F12" w:rsidRPr="00286323">
        <w:rPr>
          <w:rFonts w:asciiTheme="minorEastAsia" w:eastAsiaTheme="minorEastAsia" w:hAnsiTheme="minorEastAsia" w:cs="Arial" w:hint="eastAsia"/>
          <w:color w:val="000000" w:themeColor="text1"/>
        </w:rPr>
        <w:t>非直销销售</w:t>
      </w:r>
      <w:r w:rsidRPr="00286323">
        <w:rPr>
          <w:rFonts w:asciiTheme="minorEastAsia" w:eastAsiaTheme="minorEastAsia" w:hAnsiTheme="minorEastAsia" w:cs="Arial"/>
          <w:color w:val="000000" w:themeColor="text1"/>
        </w:rPr>
        <w:t>机构开办开放式基金业务的营业网点</w:t>
      </w:r>
      <w:r w:rsidRPr="00286323">
        <w:rPr>
          <w:rFonts w:asciiTheme="minorEastAsia" w:eastAsiaTheme="minorEastAsia" w:hAnsiTheme="minorEastAsia" w:cs="Arial" w:hint="eastAsia"/>
          <w:color w:val="000000" w:themeColor="text1"/>
        </w:rPr>
        <w:t>；</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3、</w:t>
      </w:r>
      <w:r w:rsidRPr="00286323">
        <w:rPr>
          <w:rFonts w:asciiTheme="minorEastAsia" w:eastAsiaTheme="minorEastAsia" w:hAnsiTheme="minorEastAsia" w:cs="Arial"/>
          <w:color w:val="000000" w:themeColor="text1"/>
        </w:rPr>
        <w:t>基金管理人可根据情况</w:t>
      </w:r>
      <w:r w:rsidRPr="00286323">
        <w:rPr>
          <w:rFonts w:asciiTheme="minorEastAsia" w:eastAsiaTheme="minorEastAsia" w:hAnsiTheme="minorEastAsia" w:cs="Arial" w:hint="eastAsia"/>
          <w:color w:val="000000" w:themeColor="text1"/>
        </w:rPr>
        <w:t>变更</w:t>
      </w:r>
      <w:r w:rsidRPr="00286323">
        <w:rPr>
          <w:rFonts w:asciiTheme="minorEastAsia" w:eastAsiaTheme="minorEastAsia" w:hAnsiTheme="minorEastAsia" w:cs="Arial"/>
          <w:color w:val="000000" w:themeColor="text1"/>
        </w:rPr>
        <w:t>基金的销售机构，</w:t>
      </w:r>
      <w:r w:rsidR="001D031D" w:rsidRPr="00286323">
        <w:rPr>
          <w:rFonts w:asciiTheme="minorEastAsia" w:eastAsiaTheme="minorEastAsia" w:hAnsiTheme="minorEastAsia" w:cs="Arial" w:hint="eastAsia"/>
          <w:color w:val="000000" w:themeColor="text1"/>
        </w:rPr>
        <w:t>并在基金管理人网站公示</w:t>
      </w:r>
      <w:r w:rsidRPr="00286323">
        <w:rPr>
          <w:rFonts w:asciiTheme="minorEastAsia" w:eastAsiaTheme="minorEastAsia" w:hAnsiTheme="minorEastAsia" w:cs="Arial"/>
          <w:color w:val="000000" w:themeColor="text1"/>
        </w:rPr>
        <w:t>。</w:t>
      </w:r>
    </w:p>
    <w:p w:rsidR="001A7CDB" w:rsidRPr="00286323" w:rsidRDefault="001A7CDB" w:rsidP="00F71D3B">
      <w:pPr>
        <w:snapToGrid w:val="0"/>
        <w:spacing w:line="360" w:lineRule="auto"/>
        <w:ind w:firstLineChars="202" w:firstLine="424"/>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投资人还可通过基金管理人或者指定的基金</w:t>
      </w:r>
      <w:r w:rsidR="00571F12" w:rsidRPr="00286323">
        <w:rPr>
          <w:rFonts w:asciiTheme="minorEastAsia" w:eastAsiaTheme="minorEastAsia" w:hAnsiTheme="minorEastAsia" w:cs="Arial" w:hint="eastAsia"/>
          <w:color w:val="000000" w:themeColor="text1"/>
        </w:rPr>
        <w:t>销售</w:t>
      </w:r>
      <w:r w:rsidRPr="00286323">
        <w:rPr>
          <w:rFonts w:asciiTheme="minorEastAsia" w:eastAsiaTheme="minorEastAsia" w:hAnsiTheme="minorEastAsia" w:cs="Arial"/>
          <w:color w:val="000000" w:themeColor="text1"/>
        </w:rPr>
        <w:t>机构以电话或互联网等其他电子交易方式进行申购、赎回，具体以各销售机构的规定为准。</w:t>
      </w:r>
    </w:p>
    <w:p w:rsidR="001A7CDB" w:rsidRPr="00286323" w:rsidRDefault="001A7CDB" w:rsidP="00F71D3B">
      <w:pPr>
        <w:pStyle w:val="20"/>
        <w:numPr>
          <w:ilvl w:val="0"/>
          <w:numId w:val="15"/>
        </w:numPr>
        <w:snapToGrid w:val="0"/>
        <w:spacing w:beforeLines="0" w:afterLines="0" w:line="360" w:lineRule="auto"/>
        <w:ind w:firstLineChars="0"/>
        <w:rPr>
          <w:rFonts w:asciiTheme="minorEastAsia" w:eastAsiaTheme="minorEastAsia" w:hAnsiTheme="minorEastAsia" w:cs="Arial"/>
          <w:b w:val="0"/>
          <w:color w:val="000000" w:themeColor="text1"/>
          <w:sz w:val="21"/>
          <w:szCs w:val="21"/>
        </w:rPr>
      </w:pPr>
      <w:r w:rsidRPr="00286323">
        <w:rPr>
          <w:rFonts w:asciiTheme="minorEastAsia" w:eastAsiaTheme="minorEastAsia" w:hAnsiTheme="minorEastAsia" w:cs="Arial"/>
          <w:b w:val="0"/>
          <w:color w:val="000000" w:themeColor="text1"/>
          <w:sz w:val="21"/>
          <w:szCs w:val="21"/>
        </w:rPr>
        <w:t>申购、赎回的</w:t>
      </w:r>
      <w:r w:rsidRPr="00286323">
        <w:rPr>
          <w:rFonts w:asciiTheme="minorEastAsia" w:eastAsiaTheme="minorEastAsia" w:hAnsiTheme="minorEastAsia" w:cs="Arial" w:hint="eastAsia"/>
          <w:b w:val="0"/>
          <w:color w:val="000000" w:themeColor="text1"/>
          <w:sz w:val="21"/>
          <w:szCs w:val="21"/>
        </w:rPr>
        <w:t>开放日及</w:t>
      </w:r>
      <w:r w:rsidRPr="00286323">
        <w:rPr>
          <w:rFonts w:asciiTheme="minorEastAsia" w:eastAsiaTheme="minorEastAsia" w:hAnsiTheme="minorEastAsia" w:cs="Arial"/>
          <w:b w:val="0"/>
          <w:color w:val="000000" w:themeColor="text1"/>
          <w:sz w:val="21"/>
          <w:szCs w:val="21"/>
        </w:rPr>
        <w:t>时间</w:t>
      </w:r>
    </w:p>
    <w:p w:rsidR="003E2237" w:rsidRPr="00286323" w:rsidRDefault="003E2237"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bCs/>
          <w:color w:val="000000" w:themeColor="text1"/>
        </w:rPr>
        <w:t>原易方达量化衍伸股票型证券投资基金已于</w:t>
      </w:r>
      <w:r w:rsidRPr="00286323">
        <w:rPr>
          <w:rFonts w:asciiTheme="minorEastAsia" w:eastAsiaTheme="minorEastAsia" w:hAnsiTheme="minorEastAsia"/>
          <w:color w:val="000000" w:themeColor="text1"/>
        </w:rPr>
        <w:t>2012</w:t>
      </w:r>
      <w:r w:rsidRPr="00286323">
        <w:rPr>
          <w:rFonts w:asciiTheme="minorEastAsia" w:eastAsiaTheme="minorEastAsia" w:hAnsiTheme="minorEastAsia" w:hint="eastAsia"/>
          <w:color w:val="000000" w:themeColor="text1"/>
        </w:rPr>
        <w:t>年</w:t>
      </w:r>
      <w:r w:rsidRPr="00286323">
        <w:rPr>
          <w:rFonts w:asciiTheme="minorEastAsia" w:eastAsiaTheme="minorEastAsia" w:hAnsiTheme="minorEastAsia"/>
          <w:color w:val="000000" w:themeColor="text1"/>
        </w:rPr>
        <w:t>8</w:t>
      </w:r>
      <w:r w:rsidRPr="00286323">
        <w:rPr>
          <w:rFonts w:asciiTheme="minorEastAsia" w:eastAsiaTheme="minorEastAsia" w:hAnsiTheme="minorEastAsia" w:hint="eastAsia"/>
          <w:color w:val="000000" w:themeColor="text1"/>
        </w:rPr>
        <w:t>月</w:t>
      </w:r>
      <w:r w:rsidRPr="00286323">
        <w:rPr>
          <w:rFonts w:asciiTheme="minorEastAsia" w:eastAsiaTheme="minorEastAsia" w:hAnsiTheme="minorEastAsia"/>
          <w:color w:val="000000" w:themeColor="text1"/>
        </w:rPr>
        <w:t>6</w:t>
      </w:r>
      <w:r w:rsidRPr="00286323">
        <w:rPr>
          <w:rFonts w:asciiTheme="minorEastAsia" w:eastAsiaTheme="minorEastAsia" w:hAnsiTheme="minorEastAsia" w:hint="eastAsia"/>
          <w:color w:val="000000" w:themeColor="text1"/>
        </w:rPr>
        <w:t>日开始办理赎回</w:t>
      </w:r>
      <w:r w:rsidRPr="00286323">
        <w:rPr>
          <w:rFonts w:asciiTheme="minorEastAsia" w:eastAsiaTheme="minorEastAsia" w:hAnsiTheme="minorEastAsia" w:hint="eastAsia"/>
          <w:bCs/>
          <w:color w:val="000000" w:themeColor="text1"/>
        </w:rPr>
        <w:t>业务，已于</w:t>
      </w:r>
      <w:r w:rsidRPr="00286323">
        <w:rPr>
          <w:rFonts w:asciiTheme="minorEastAsia" w:eastAsiaTheme="minorEastAsia" w:hAnsiTheme="minorEastAsia"/>
          <w:color w:val="000000" w:themeColor="text1"/>
        </w:rPr>
        <w:t>2012</w:t>
      </w:r>
      <w:r w:rsidRPr="00286323">
        <w:rPr>
          <w:rFonts w:asciiTheme="minorEastAsia" w:eastAsiaTheme="minorEastAsia" w:hAnsiTheme="minorEastAsia" w:hint="eastAsia"/>
          <w:color w:val="000000" w:themeColor="text1"/>
        </w:rPr>
        <w:t>年</w:t>
      </w:r>
      <w:r w:rsidRPr="00286323">
        <w:rPr>
          <w:rFonts w:asciiTheme="minorEastAsia" w:eastAsiaTheme="minorEastAsia" w:hAnsiTheme="minorEastAsia"/>
          <w:color w:val="000000" w:themeColor="text1"/>
        </w:rPr>
        <w:t>9</w:t>
      </w:r>
      <w:r w:rsidRPr="00286323">
        <w:rPr>
          <w:rFonts w:asciiTheme="minorEastAsia" w:eastAsiaTheme="minorEastAsia" w:hAnsiTheme="minorEastAsia" w:hint="eastAsia"/>
          <w:color w:val="000000" w:themeColor="text1"/>
        </w:rPr>
        <w:t>月</w:t>
      </w:r>
      <w:r w:rsidRPr="00286323">
        <w:rPr>
          <w:rFonts w:asciiTheme="minorEastAsia" w:eastAsiaTheme="minorEastAsia" w:hAnsiTheme="minorEastAsia"/>
          <w:color w:val="000000" w:themeColor="text1"/>
        </w:rPr>
        <w:t>27</w:t>
      </w:r>
      <w:r w:rsidRPr="00286323">
        <w:rPr>
          <w:rFonts w:asciiTheme="minorEastAsia" w:eastAsiaTheme="minorEastAsia" w:hAnsiTheme="minorEastAsia" w:hint="eastAsia"/>
          <w:color w:val="000000" w:themeColor="text1"/>
        </w:rPr>
        <w:t>日开始办理日常申购</w:t>
      </w:r>
      <w:r w:rsidRPr="00286323">
        <w:rPr>
          <w:rFonts w:asciiTheme="minorEastAsia" w:eastAsiaTheme="minorEastAsia" w:hAnsiTheme="minorEastAsia" w:hint="eastAsia"/>
          <w:bCs/>
          <w:color w:val="000000" w:themeColor="text1"/>
        </w:rPr>
        <w:t>业务，</w:t>
      </w:r>
      <w:r w:rsidRPr="00286323">
        <w:rPr>
          <w:rFonts w:asciiTheme="minorEastAsia" w:eastAsiaTheme="minorEastAsia" w:hAnsiTheme="minorEastAsia"/>
          <w:bCs/>
          <w:color w:val="000000" w:themeColor="text1"/>
        </w:rPr>
        <w:t>原基金变更不影响本基金</w:t>
      </w:r>
      <w:r w:rsidR="008A6361" w:rsidRPr="00286323">
        <w:rPr>
          <w:rFonts w:asciiTheme="minorEastAsia" w:eastAsiaTheme="minorEastAsia" w:hAnsiTheme="minorEastAsia" w:hint="eastAsia"/>
          <w:bCs/>
          <w:color w:val="000000" w:themeColor="text1"/>
        </w:rPr>
        <w:t>的</w:t>
      </w:r>
      <w:r w:rsidRPr="00286323">
        <w:rPr>
          <w:rFonts w:asciiTheme="minorEastAsia" w:eastAsiaTheme="minorEastAsia" w:hAnsiTheme="minorEastAsia"/>
          <w:bCs/>
          <w:color w:val="000000" w:themeColor="text1"/>
        </w:rPr>
        <w:t>正常</w:t>
      </w:r>
      <w:r w:rsidRPr="00286323">
        <w:rPr>
          <w:rFonts w:asciiTheme="minorEastAsia" w:eastAsiaTheme="minorEastAsia" w:hAnsiTheme="minorEastAsia" w:hint="eastAsia"/>
          <w:bCs/>
          <w:color w:val="000000" w:themeColor="text1"/>
        </w:rPr>
        <w:t>申购和赎回。</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若出现新的证券交易市场、证券交易所交易时间变更或其他特殊情况，基金管理人将视情况对前述开放日及开放时间进行相应的调整，但应在实施日前依照《信息披露办法》的有关规定在</w:t>
      </w:r>
      <w:r w:rsidR="004533AA" w:rsidRPr="00286323">
        <w:rPr>
          <w:rFonts w:asciiTheme="minorEastAsia" w:eastAsiaTheme="minorEastAsia" w:hAnsiTheme="minorEastAsia" w:hint="eastAsia"/>
          <w:bCs/>
          <w:color w:val="000000" w:themeColor="text1"/>
        </w:rPr>
        <w:t>指定媒介</w:t>
      </w:r>
      <w:r w:rsidRPr="00286323">
        <w:rPr>
          <w:rFonts w:asciiTheme="minorEastAsia" w:eastAsiaTheme="minorEastAsia" w:hAnsiTheme="minorEastAsia"/>
          <w:bCs/>
          <w:color w:val="000000" w:themeColor="text1"/>
        </w:rPr>
        <w:t>上公告。</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cs="Arial" w:hint="eastAsia"/>
          <w:color w:val="000000" w:themeColor="text1"/>
        </w:rPr>
        <w:t>基金管理人不得在基金合同约定之外的日期或者时间办理基金份额的申购或者赎回或者转换。投资人在基金合同约定之外的日期和时间提出申购、赎回或转换申请且注册登记机构确认接受的，其基金份额申购、赎回价格为下一开放日基金份额申购、赎回的价格。</w:t>
      </w:r>
    </w:p>
    <w:p w:rsidR="001A7CDB" w:rsidRPr="00286323" w:rsidRDefault="001A7CDB" w:rsidP="00F71D3B">
      <w:pPr>
        <w:pStyle w:val="20"/>
        <w:numPr>
          <w:ilvl w:val="0"/>
          <w:numId w:val="15"/>
        </w:numPr>
        <w:snapToGrid w:val="0"/>
        <w:spacing w:beforeLines="0" w:afterLines="0" w:line="360" w:lineRule="auto"/>
        <w:ind w:firstLineChars="0"/>
        <w:rPr>
          <w:rFonts w:asciiTheme="minorEastAsia" w:eastAsiaTheme="minorEastAsia" w:hAnsiTheme="minorEastAsia" w:cs="Arial"/>
          <w:b w:val="0"/>
          <w:bCs/>
          <w:color w:val="000000" w:themeColor="text1"/>
          <w:sz w:val="21"/>
          <w:szCs w:val="21"/>
        </w:rPr>
      </w:pPr>
      <w:r w:rsidRPr="00286323">
        <w:rPr>
          <w:rFonts w:asciiTheme="minorEastAsia" w:eastAsiaTheme="minorEastAsia" w:hAnsiTheme="minorEastAsia" w:cs="Arial"/>
          <w:b w:val="0"/>
          <w:bCs/>
          <w:color w:val="000000" w:themeColor="text1"/>
          <w:sz w:val="21"/>
          <w:szCs w:val="21"/>
        </w:rPr>
        <w:t>申购、赎回的原则</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1、</w:t>
      </w:r>
      <w:r w:rsidRPr="00286323">
        <w:rPr>
          <w:rFonts w:asciiTheme="minorEastAsia" w:eastAsiaTheme="minorEastAsia" w:hAnsiTheme="minorEastAsia"/>
          <w:bCs/>
          <w:color w:val="000000" w:themeColor="text1"/>
        </w:rPr>
        <w:t>“未知价”原则，即基金的申购与赎回价格以申请当日</w:t>
      </w:r>
      <w:r w:rsidRPr="00286323">
        <w:rPr>
          <w:rFonts w:asciiTheme="minorEastAsia" w:eastAsiaTheme="minorEastAsia" w:hAnsiTheme="minorEastAsia" w:hint="eastAsia"/>
          <w:bCs/>
          <w:color w:val="000000" w:themeColor="text1"/>
        </w:rPr>
        <w:t>收市后计算的</w:t>
      </w:r>
      <w:r w:rsidRPr="00286323">
        <w:rPr>
          <w:rFonts w:asciiTheme="minorEastAsia" w:eastAsiaTheme="minorEastAsia" w:hAnsiTheme="minorEastAsia"/>
          <w:bCs/>
          <w:color w:val="000000" w:themeColor="text1"/>
        </w:rPr>
        <w:t>基金份额净值为基准进行计算；</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2、“金额申购，份额赎回”原则，</w:t>
      </w:r>
      <w:r w:rsidRPr="00286323">
        <w:rPr>
          <w:rFonts w:asciiTheme="minorEastAsia" w:eastAsiaTheme="minorEastAsia" w:hAnsiTheme="minorEastAsia"/>
          <w:bCs/>
          <w:color w:val="000000" w:themeColor="text1"/>
        </w:rPr>
        <w:t>即申购以金额申请，赎回以份额申请；</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3、当日的申购与赎回申请可以在当日业务办理时间结束前撤销，在当日的业务办理时间结束后不得撤销；</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4、</w:t>
      </w:r>
      <w:r w:rsidRPr="00286323">
        <w:rPr>
          <w:rFonts w:asciiTheme="minorEastAsia" w:eastAsiaTheme="minorEastAsia" w:hAnsiTheme="minorEastAsia"/>
          <w:bCs/>
          <w:color w:val="000000" w:themeColor="text1"/>
        </w:rPr>
        <w:t>基金份额持有人赎回时，除指定赎回外，</w:t>
      </w:r>
      <w:r w:rsidRPr="00286323">
        <w:rPr>
          <w:rFonts w:asciiTheme="minorEastAsia" w:eastAsiaTheme="minorEastAsia" w:hAnsiTheme="minorEastAsia" w:hint="eastAsia"/>
          <w:bCs/>
          <w:color w:val="000000" w:themeColor="text1"/>
        </w:rPr>
        <w:t>赎回遵循</w:t>
      </w:r>
      <w:r w:rsidRPr="00286323">
        <w:rPr>
          <w:rFonts w:asciiTheme="minorEastAsia" w:eastAsiaTheme="minorEastAsia" w:hAnsiTheme="minorEastAsia"/>
          <w:bCs/>
          <w:color w:val="000000" w:themeColor="text1"/>
        </w:rPr>
        <w:t>“先进先出”原则</w:t>
      </w:r>
      <w:r w:rsidRPr="00286323">
        <w:rPr>
          <w:rFonts w:asciiTheme="minorEastAsia" w:eastAsiaTheme="minorEastAsia" w:hAnsiTheme="minorEastAsia" w:hint="eastAsia"/>
          <w:color w:val="000000" w:themeColor="text1"/>
        </w:rPr>
        <w:t>对该持有人账户在该销售机构托管的基金份额进行处理</w:t>
      </w:r>
      <w:r w:rsidRPr="00286323">
        <w:rPr>
          <w:rFonts w:asciiTheme="minorEastAsia" w:eastAsiaTheme="minorEastAsia" w:hAnsiTheme="minorEastAsia" w:hint="eastAsia"/>
          <w:bCs/>
          <w:color w:val="000000" w:themeColor="text1"/>
        </w:rPr>
        <w:t>，即按照持有人认购、申购的先后次序，</w:t>
      </w:r>
      <w:r w:rsidRPr="00286323">
        <w:rPr>
          <w:rFonts w:asciiTheme="minorEastAsia" w:eastAsiaTheme="minorEastAsia" w:hAnsiTheme="minorEastAsia"/>
          <w:bCs/>
          <w:color w:val="000000" w:themeColor="text1"/>
        </w:rPr>
        <w:t>先确认的份额先赎回，后确认的份额后赎回，以确定所适用的赎回费率；</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lastRenderedPageBreak/>
        <w:t>基金管理人在</w:t>
      </w:r>
      <w:r w:rsidRPr="00286323">
        <w:rPr>
          <w:rFonts w:asciiTheme="minorEastAsia" w:eastAsiaTheme="minorEastAsia" w:hAnsiTheme="minorEastAsia" w:hint="eastAsia"/>
          <w:bCs/>
          <w:color w:val="000000" w:themeColor="text1"/>
        </w:rPr>
        <w:t>法律法规允许的情况下，</w:t>
      </w:r>
      <w:r w:rsidRPr="00286323">
        <w:rPr>
          <w:rFonts w:asciiTheme="minorEastAsia" w:eastAsiaTheme="minorEastAsia" w:hAnsiTheme="minorEastAsia"/>
          <w:bCs/>
          <w:color w:val="000000" w:themeColor="text1"/>
        </w:rPr>
        <w:t>可根据基金运作的实际情况更改上述原则</w:t>
      </w:r>
      <w:r w:rsidRPr="00286323">
        <w:rPr>
          <w:rFonts w:asciiTheme="minorEastAsia" w:eastAsiaTheme="minorEastAsia" w:hAnsiTheme="minorEastAsia" w:hint="eastAsia"/>
          <w:bCs/>
          <w:color w:val="000000" w:themeColor="text1"/>
        </w:rPr>
        <w:t>。基金管理人</w:t>
      </w:r>
      <w:r w:rsidRPr="00286323">
        <w:rPr>
          <w:rFonts w:asciiTheme="minorEastAsia" w:eastAsiaTheme="minorEastAsia" w:hAnsiTheme="minorEastAsia"/>
          <w:bCs/>
          <w:color w:val="000000" w:themeColor="text1"/>
        </w:rPr>
        <w:t>必须</w:t>
      </w:r>
      <w:r w:rsidRPr="00286323">
        <w:rPr>
          <w:rFonts w:asciiTheme="minorEastAsia" w:eastAsiaTheme="minorEastAsia" w:hAnsiTheme="minorEastAsia" w:hint="eastAsia"/>
          <w:bCs/>
          <w:color w:val="000000" w:themeColor="text1"/>
        </w:rPr>
        <w:t>在新规则开始实施前</w:t>
      </w:r>
      <w:r w:rsidRPr="00286323">
        <w:rPr>
          <w:rFonts w:asciiTheme="minorEastAsia" w:eastAsiaTheme="minorEastAsia" w:hAnsiTheme="minorEastAsia"/>
          <w:bCs/>
          <w:color w:val="000000" w:themeColor="text1"/>
        </w:rPr>
        <w:t>按照《信息披露办法》或其他相关规定在</w:t>
      </w:r>
      <w:r w:rsidR="004533AA" w:rsidRPr="00286323">
        <w:rPr>
          <w:rFonts w:asciiTheme="minorEastAsia" w:eastAsiaTheme="minorEastAsia" w:hAnsiTheme="minorEastAsia" w:hint="eastAsia"/>
          <w:bCs/>
          <w:color w:val="000000" w:themeColor="text1"/>
        </w:rPr>
        <w:t>指定媒介</w:t>
      </w:r>
      <w:r w:rsidRPr="00286323">
        <w:rPr>
          <w:rFonts w:asciiTheme="minorEastAsia" w:eastAsiaTheme="minorEastAsia" w:hAnsiTheme="minorEastAsia"/>
          <w:bCs/>
          <w:color w:val="000000" w:themeColor="text1"/>
        </w:rPr>
        <w:t>上公告。</w:t>
      </w:r>
    </w:p>
    <w:p w:rsidR="001A7CDB" w:rsidRPr="00286323" w:rsidRDefault="001A7CDB" w:rsidP="00F71D3B">
      <w:pPr>
        <w:pStyle w:val="20"/>
        <w:numPr>
          <w:ilvl w:val="0"/>
          <w:numId w:val="15"/>
        </w:numPr>
        <w:snapToGrid w:val="0"/>
        <w:spacing w:beforeLines="0" w:afterLines="0" w:line="360" w:lineRule="auto"/>
        <w:ind w:firstLineChars="0"/>
        <w:rPr>
          <w:rFonts w:asciiTheme="minorEastAsia" w:eastAsiaTheme="minorEastAsia" w:hAnsiTheme="minorEastAsia" w:cs="Arial"/>
          <w:b w:val="0"/>
          <w:color w:val="000000" w:themeColor="text1"/>
          <w:sz w:val="21"/>
          <w:szCs w:val="21"/>
        </w:rPr>
      </w:pPr>
      <w:r w:rsidRPr="00286323">
        <w:rPr>
          <w:rFonts w:asciiTheme="minorEastAsia" w:eastAsiaTheme="minorEastAsia" w:hAnsiTheme="minorEastAsia" w:cs="Arial"/>
          <w:b w:val="0"/>
          <w:color w:val="000000" w:themeColor="text1"/>
          <w:sz w:val="21"/>
          <w:szCs w:val="21"/>
        </w:rPr>
        <w:t>申购</w:t>
      </w:r>
      <w:r w:rsidRPr="00286323">
        <w:rPr>
          <w:rFonts w:asciiTheme="minorEastAsia" w:eastAsiaTheme="minorEastAsia" w:hAnsiTheme="minorEastAsia" w:cs="Arial" w:hint="eastAsia"/>
          <w:b w:val="0"/>
          <w:color w:val="000000" w:themeColor="text1"/>
          <w:sz w:val="21"/>
          <w:szCs w:val="21"/>
        </w:rPr>
        <w:t>和</w:t>
      </w:r>
      <w:r w:rsidRPr="00286323">
        <w:rPr>
          <w:rFonts w:asciiTheme="minorEastAsia" w:eastAsiaTheme="minorEastAsia" w:hAnsiTheme="minorEastAsia" w:cs="Arial"/>
          <w:b w:val="0"/>
          <w:color w:val="000000" w:themeColor="text1"/>
          <w:sz w:val="21"/>
          <w:szCs w:val="21"/>
        </w:rPr>
        <w:t>赎回的程序</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w:t>
      </w:r>
      <w:r w:rsidRPr="00286323">
        <w:rPr>
          <w:rFonts w:asciiTheme="minorEastAsia" w:eastAsiaTheme="minorEastAsia" w:hAnsiTheme="minorEastAsia" w:cs="Arial"/>
          <w:color w:val="000000" w:themeColor="text1"/>
        </w:rPr>
        <w:t>申购</w:t>
      </w:r>
      <w:r w:rsidRPr="00286323">
        <w:rPr>
          <w:rFonts w:asciiTheme="minorEastAsia" w:eastAsiaTheme="minorEastAsia" w:hAnsiTheme="minorEastAsia" w:cs="Arial" w:hint="eastAsia"/>
          <w:color w:val="000000" w:themeColor="text1"/>
        </w:rPr>
        <w:t>和</w:t>
      </w:r>
      <w:r w:rsidRPr="00286323">
        <w:rPr>
          <w:rFonts w:asciiTheme="minorEastAsia" w:eastAsiaTheme="minorEastAsia" w:hAnsiTheme="minorEastAsia" w:cs="Arial"/>
          <w:color w:val="000000" w:themeColor="text1"/>
        </w:rPr>
        <w:t>赎回的申请方式</w:t>
      </w:r>
    </w:p>
    <w:p w:rsidR="001A7CDB" w:rsidRPr="00286323" w:rsidRDefault="001A7CDB" w:rsidP="00F71D3B">
      <w:pPr>
        <w:snapToGrid w:val="0"/>
        <w:spacing w:line="360" w:lineRule="auto"/>
        <w:ind w:firstLineChars="202" w:firstLine="424"/>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投资人必须根据基金</w:t>
      </w:r>
      <w:r w:rsidRPr="00286323">
        <w:rPr>
          <w:rFonts w:asciiTheme="minorEastAsia" w:eastAsiaTheme="minorEastAsia" w:hAnsiTheme="minorEastAsia" w:cs="Arial" w:hint="eastAsia"/>
          <w:color w:val="000000" w:themeColor="text1"/>
        </w:rPr>
        <w:t>销售</w:t>
      </w:r>
      <w:r w:rsidRPr="00286323">
        <w:rPr>
          <w:rFonts w:asciiTheme="minorEastAsia" w:eastAsiaTheme="minorEastAsia" w:hAnsiTheme="minorEastAsia" w:cs="Arial"/>
          <w:color w:val="000000" w:themeColor="text1"/>
        </w:rPr>
        <w:t>机构规定的</w:t>
      </w:r>
      <w:r w:rsidRPr="00286323">
        <w:rPr>
          <w:rFonts w:asciiTheme="minorEastAsia" w:eastAsiaTheme="minorEastAsia" w:hAnsiTheme="minorEastAsia" w:cs="Arial" w:hint="eastAsia"/>
          <w:color w:val="000000" w:themeColor="text1"/>
        </w:rPr>
        <w:t>程序</w:t>
      </w:r>
      <w:r w:rsidRPr="00286323">
        <w:rPr>
          <w:rFonts w:asciiTheme="minorEastAsia" w:eastAsiaTheme="minorEastAsia" w:hAnsiTheme="minorEastAsia" w:cs="Arial"/>
          <w:color w:val="000000" w:themeColor="text1"/>
        </w:rPr>
        <w:t>，在开放日的</w:t>
      </w:r>
      <w:r w:rsidRPr="00286323">
        <w:rPr>
          <w:rFonts w:asciiTheme="minorEastAsia" w:eastAsiaTheme="minorEastAsia" w:hAnsiTheme="minorEastAsia" w:cs="Arial" w:hint="eastAsia"/>
          <w:color w:val="000000" w:themeColor="text1"/>
        </w:rPr>
        <w:t>具体</w:t>
      </w:r>
      <w:r w:rsidRPr="00286323">
        <w:rPr>
          <w:rFonts w:asciiTheme="minorEastAsia" w:eastAsiaTheme="minorEastAsia" w:hAnsiTheme="minorEastAsia" w:cs="Arial"/>
          <w:color w:val="000000" w:themeColor="text1"/>
        </w:rPr>
        <w:t>业务办理时间提出申购</w:t>
      </w:r>
      <w:r w:rsidRPr="00286323">
        <w:rPr>
          <w:rFonts w:asciiTheme="minorEastAsia" w:eastAsiaTheme="minorEastAsia" w:hAnsiTheme="minorEastAsia" w:cs="Arial" w:hint="eastAsia"/>
          <w:color w:val="000000" w:themeColor="text1"/>
        </w:rPr>
        <w:t>或</w:t>
      </w:r>
      <w:r w:rsidRPr="00286323">
        <w:rPr>
          <w:rFonts w:asciiTheme="minorEastAsia" w:eastAsiaTheme="minorEastAsia" w:hAnsiTheme="minorEastAsia" w:cs="Arial"/>
          <w:color w:val="000000" w:themeColor="text1"/>
        </w:rPr>
        <w:t>赎回的申请。</w:t>
      </w:r>
    </w:p>
    <w:p w:rsidR="001A7CDB" w:rsidRPr="00286323" w:rsidRDefault="001A7CDB" w:rsidP="00F71D3B">
      <w:pPr>
        <w:snapToGrid w:val="0"/>
        <w:spacing w:line="360" w:lineRule="auto"/>
        <w:ind w:firstLineChars="202" w:firstLine="424"/>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投资人在提交申购申请时，须按销售机构规定的方式备足申购资金；提交赎回申请时,账户中必须有足够的基金份额余额，否则所提交的申购</w:t>
      </w:r>
      <w:r w:rsidRPr="00286323">
        <w:rPr>
          <w:rFonts w:asciiTheme="minorEastAsia" w:eastAsiaTheme="minorEastAsia" w:hAnsiTheme="minorEastAsia" w:cs="Arial" w:hint="eastAsia"/>
          <w:color w:val="000000" w:themeColor="text1"/>
        </w:rPr>
        <w:t>或</w:t>
      </w:r>
      <w:r w:rsidRPr="00286323">
        <w:rPr>
          <w:rFonts w:asciiTheme="minorEastAsia" w:eastAsiaTheme="minorEastAsia" w:hAnsiTheme="minorEastAsia" w:cs="Arial"/>
          <w:color w:val="000000" w:themeColor="text1"/>
        </w:rPr>
        <w:t>赎回的申请无效而不予成交。</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2、</w:t>
      </w:r>
      <w:r w:rsidRPr="00286323">
        <w:rPr>
          <w:rFonts w:asciiTheme="minorEastAsia" w:eastAsiaTheme="minorEastAsia" w:hAnsiTheme="minorEastAsia" w:cs="Arial"/>
          <w:color w:val="000000" w:themeColor="text1"/>
        </w:rPr>
        <w:t>申购</w:t>
      </w:r>
      <w:r w:rsidRPr="00286323">
        <w:rPr>
          <w:rFonts w:asciiTheme="minorEastAsia" w:eastAsiaTheme="minorEastAsia" w:hAnsiTheme="minorEastAsia" w:cs="Arial" w:hint="eastAsia"/>
          <w:color w:val="000000" w:themeColor="text1"/>
        </w:rPr>
        <w:t>和</w:t>
      </w:r>
      <w:r w:rsidRPr="00286323">
        <w:rPr>
          <w:rFonts w:asciiTheme="minorEastAsia" w:eastAsiaTheme="minorEastAsia" w:hAnsiTheme="minorEastAsia" w:cs="Arial"/>
          <w:color w:val="000000" w:themeColor="text1"/>
        </w:rPr>
        <w:t>赎回申请的确认</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基金管理人应以交易时间结束前受理</w:t>
      </w:r>
      <w:r w:rsidRPr="00286323">
        <w:rPr>
          <w:rFonts w:asciiTheme="minorEastAsia" w:eastAsiaTheme="minorEastAsia" w:hAnsiTheme="minorEastAsia" w:hint="eastAsia"/>
          <w:bCs/>
          <w:color w:val="000000" w:themeColor="text1"/>
        </w:rPr>
        <w:t>有效</w:t>
      </w:r>
      <w:r w:rsidRPr="00286323">
        <w:rPr>
          <w:rFonts w:asciiTheme="minorEastAsia" w:eastAsiaTheme="minorEastAsia" w:hAnsiTheme="minorEastAsia"/>
          <w:bCs/>
          <w:color w:val="000000" w:themeColor="text1"/>
        </w:rPr>
        <w:t>申购和赎回申请的当天作为申购或赎回申请日（T日），在正常情况下，本基金注册登记机构在T+</w:t>
      </w:r>
      <w:r w:rsidRPr="00286323">
        <w:rPr>
          <w:rFonts w:asciiTheme="minorEastAsia" w:eastAsiaTheme="minorEastAsia" w:hAnsiTheme="minorEastAsia" w:hint="eastAsia"/>
          <w:bCs/>
          <w:color w:val="000000" w:themeColor="text1"/>
        </w:rPr>
        <w:t>1</w:t>
      </w:r>
      <w:r w:rsidRPr="00286323">
        <w:rPr>
          <w:rFonts w:asciiTheme="minorEastAsia" w:eastAsiaTheme="minorEastAsia" w:hAnsiTheme="minorEastAsia"/>
          <w:bCs/>
          <w:color w:val="000000" w:themeColor="text1"/>
        </w:rPr>
        <w:t>日内对该交易的有效性进行确认。T日提交的有效申请，投资人</w:t>
      </w:r>
      <w:r w:rsidRPr="00286323">
        <w:rPr>
          <w:rFonts w:asciiTheme="minorEastAsia" w:eastAsiaTheme="minorEastAsia" w:hAnsiTheme="minorEastAsia" w:hint="eastAsia"/>
          <w:bCs/>
          <w:color w:val="000000" w:themeColor="text1"/>
        </w:rPr>
        <w:t>应</w:t>
      </w:r>
      <w:r w:rsidRPr="00286323">
        <w:rPr>
          <w:rFonts w:asciiTheme="minorEastAsia" w:eastAsiaTheme="minorEastAsia" w:hAnsiTheme="minorEastAsia"/>
          <w:bCs/>
          <w:color w:val="000000" w:themeColor="text1"/>
        </w:rPr>
        <w:t>在T+</w:t>
      </w:r>
      <w:r w:rsidRPr="00286323">
        <w:rPr>
          <w:rFonts w:asciiTheme="minorEastAsia" w:eastAsiaTheme="minorEastAsia" w:hAnsiTheme="minorEastAsia" w:hint="eastAsia"/>
          <w:bCs/>
          <w:color w:val="000000" w:themeColor="text1"/>
        </w:rPr>
        <w:t>2</w:t>
      </w:r>
      <w:r w:rsidRPr="00286323">
        <w:rPr>
          <w:rFonts w:asciiTheme="minorEastAsia" w:eastAsiaTheme="minorEastAsia" w:hAnsiTheme="minorEastAsia"/>
          <w:bCs/>
          <w:color w:val="000000" w:themeColor="text1"/>
        </w:rPr>
        <w:t>日后（包括该日）到销售网点柜台或以销售机构规定的其他方式查询申请的确认情况。若申购不成功，则申购款项</w:t>
      </w:r>
      <w:r w:rsidRPr="00286323">
        <w:rPr>
          <w:rFonts w:asciiTheme="minorEastAsia" w:eastAsiaTheme="minorEastAsia" w:hAnsiTheme="minorEastAsia" w:hint="eastAsia"/>
          <w:bCs/>
          <w:color w:val="000000" w:themeColor="text1"/>
        </w:rPr>
        <w:t>本金</w:t>
      </w:r>
      <w:r w:rsidRPr="00286323">
        <w:rPr>
          <w:rFonts w:asciiTheme="minorEastAsia" w:eastAsiaTheme="minorEastAsia" w:hAnsiTheme="minorEastAsia"/>
          <w:bCs/>
          <w:color w:val="000000" w:themeColor="text1"/>
        </w:rPr>
        <w:t>退还给投资人。</w:t>
      </w:r>
    </w:p>
    <w:p w:rsidR="001A7CDB" w:rsidRPr="00286323" w:rsidRDefault="001A7CDB" w:rsidP="00F71D3B">
      <w:pPr>
        <w:snapToGrid w:val="0"/>
        <w:spacing w:line="360" w:lineRule="auto"/>
        <w:ind w:firstLineChars="202" w:firstLine="424"/>
        <w:rPr>
          <w:rFonts w:asciiTheme="minorEastAsia" w:eastAsiaTheme="minorEastAsia" w:hAnsiTheme="minorEastAsia" w:cs="Arial"/>
          <w:color w:val="000000" w:themeColor="text1"/>
        </w:rPr>
      </w:pPr>
      <w:r w:rsidRPr="00286323">
        <w:rPr>
          <w:rFonts w:asciiTheme="minorEastAsia" w:eastAsiaTheme="minorEastAsia" w:hAnsiTheme="minorEastAsia" w:hint="eastAsia"/>
          <w:bCs/>
          <w:color w:val="000000" w:themeColor="text1"/>
        </w:rPr>
        <w:t>销售机构对申购、赎回申请的受理并不代表该申请一定成功，而仅代表销售机构确实接收到申购、赎回申请。申购、赎回的确认以基金注册登记机构的确认结果为准。对于申购申请及申购份额的确认情况，投资人应及时查询并妥善行使合法权利。</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3、</w:t>
      </w:r>
      <w:r w:rsidRPr="00286323">
        <w:rPr>
          <w:rFonts w:asciiTheme="minorEastAsia" w:eastAsiaTheme="minorEastAsia" w:hAnsiTheme="minorEastAsia" w:cs="Arial"/>
          <w:color w:val="000000" w:themeColor="text1"/>
        </w:rPr>
        <w:t>申购和赎回的款项支付</w:t>
      </w:r>
    </w:p>
    <w:p w:rsidR="001A7CDB" w:rsidRPr="00286323" w:rsidRDefault="001A7CDB" w:rsidP="00F71D3B">
      <w:pPr>
        <w:snapToGrid w:val="0"/>
        <w:spacing w:line="360" w:lineRule="auto"/>
        <w:ind w:firstLineChars="202" w:firstLine="424"/>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申购采用全额缴款方式，若资金在规定时间内未全额到账则申购不成功，投资人已缴付的申购款项</w:t>
      </w:r>
      <w:r w:rsidRPr="00286323">
        <w:rPr>
          <w:rFonts w:asciiTheme="minorEastAsia" w:eastAsiaTheme="minorEastAsia" w:hAnsiTheme="minorEastAsia" w:cs="Arial" w:hint="eastAsia"/>
          <w:color w:val="000000" w:themeColor="text1"/>
        </w:rPr>
        <w:t>的</w:t>
      </w:r>
      <w:r w:rsidRPr="00286323">
        <w:rPr>
          <w:rFonts w:asciiTheme="minorEastAsia" w:eastAsiaTheme="minorEastAsia" w:hAnsiTheme="minorEastAsia" w:cs="Arial"/>
          <w:color w:val="000000" w:themeColor="text1"/>
        </w:rPr>
        <w:t>本金退回投资人账户。</w:t>
      </w:r>
    </w:p>
    <w:p w:rsidR="001A7CDB" w:rsidRPr="00286323" w:rsidRDefault="001A7CDB" w:rsidP="00F71D3B">
      <w:pPr>
        <w:snapToGrid w:val="0"/>
        <w:spacing w:line="360" w:lineRule="auto"/>
        <w:ind w:firstLineChars="202" w:firstLine="424"/>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投资人赎回申请成功后，基金管理人</w:t>
      </w:r>
      <w:r w:rsidRPr="00286323">
        <w:rPr>
          <w:rFonts w:asciiTheme="minorEastAsia" w:eastAsiaTheme="minorEastAsia" w:hAnsiTheme="minorEastAsia" w:cs="Arial" w:hint="eastAsia"/>
          <w:color w:val="000000" w:themeColor="text1"/>
        </w:rPr>
        <w:t>应</w:t>
      </w:r>
      <w:r w:rsidRPr="00286323">
        <w:rPr>
          <w:rFonts w:asciiTheme="minorEastAsia" w:eastAsiaTheme="minorEastAsia" w:hAnsiTheme="minorEastAsia" w:cs="Arial"/>
          <w:color w:val="000000" w:themeColor="text1"/>
        </w:rPr>
        <w:t>通过注册登记机构及相关基金销售机构</w:t>
      </w:r>
      <w:r w:rsidRPr="00286323">
        <w:rPr>
          <w:rFonts w:asciiTheme="minorEastAsia" w:eastAsiaTheme="minorEastAsia" w:hAnsiTheme="minorEastAsia" w:cs="Arial" w:hint="eastAsia"/>
          <w:color w:val="000000" w:themeColor="text1"/>
        </w:rPr>
        <w:t>按规定向投资人</w:t>
      </w:r>
      <w:r w:rsidRPr="00286323">
        <w:rPr>
          <w:rFonts w:asciiTheme="minorEastAsia" w:eastAsiaTheme="minorEastAsia" w:hAnsiTheme="minorEastAsia" w:cs="Arial"/>
          <w:color w:val="000000" w:themeColor="text1"/>
        </w:rPr>
        <w:t>支付赎回款项</w:t>
      </w:r>
      <w:r w:rsidRPr="00286323">
        <w:rPr>
          <w:rFonts w:asciiTheme="minorEastAsia" w:eastAsiaTheme="minorEastAsia" w:hAnsiTheme="minorEastAsia" w:cs="Arial" w:hint="eastAsia"/>
          <w:color w:val="000000" w:themeColor="text1"/>
        </w:rPr>
        <w:t>。赎回款项自受理基金投资人有效赎回申请之日起不超过7个工作日支付</w:t>
      </w:r>
      <w:r w:rsidRPr="00286323">
        <w:rPr>
          <w:rFonts w:asciiTheme="minorEastAsia" w:eastAsiaTheme="minorEastAsia" w:hAnsiTheme="minorEastAsia" w:cs="Arial"/>
          <w:color w:val="000000" w:themeColor="text1"/>
        </w:rPr>
        <w:t>。发生巨额赎回的情形时，</w:t>
      </w:r>
      <w:r w:rsidRPr="00286323">
        <w:rPr>
          <w:rFonts w:asciiTheme="minorEastAsia" w:eastAsiaTheme="minorEastAsia" w:hAnsiTheme="minorEastAsia" w:cs="Arial" w:hint="eastAsia"/>
          <w:color w:val="000000" w:themeColor="text1"/>
        </w:rPr>
        <w:t>赎回</w:t>
      </w:r>
      <w:r w:rsidRPr="00286323">
        <w:rPr>
          <w:rFonts w:asciiTheme="minorEastAsia" w:eastAsiaTheme="minorEastAsia" w:hAnsiTheme="minorEastAsia" w:cs="Arial"/>
          <w:color w:val="000000" w:themeColor="text1"/>
        </w:rPr>
        <w:t>款项的支付办法参照《基金合同》的有关条款处理。</w:t>
      </w:r>
    </w:p>
    <w:p w:rsidR="001A7CDB" w:rsidRPr="00286323" w:rsidRDefault="001A7CDB" w:rsidP="00F71D3B">
      <w:pPr>
        <w:snapToGrid w:val="0"/>
        <w:spacing w:line="360" w:lineRule="auto"/>
        <w:ind w:firstLineChars="202" w:firstLine="424"/>
        <w:rPr>
          <w:rFonts w:asciiTheme="minorEastAsia" w:eastAsiaTheme="minorEastAsia" w:hAnsiTheme="minorEastAsia" w:cs="Arial"/>
          <w:color w:val="000000" w:themeColor="text1"/>
        </w:rPr>
      </w:pPr>
      <w:r w:rsidRPr="00286323">
        <w:rPr>
          <w:rFonts w:asciiTheme="minorEastAsia" w:eastAsiaTheme="minorEastAsia" w:hAnsiTheme="minorEastAsia" w:hint="eastAsia"/>
          <w:color w:val="000000" w:themeColor="text1"/>
        </w:rPr>
        <w:t>基金管理人可以在法律法规允许的范围内，对上述业务办理时间进行调整，并进行公告。</w:t>
      </w:r>
    </w:p>
    <w:p w:rsidR="001A7CDB" w:rsidRPr="00286323" w:rsidRDefault="001A7CDB" w:rsidP="00F71D3B">
      <w:pPr>
        <w:pStyle w:val="20"/>
        <w:numPr>
          <w:ilvl w:val="0"/>
          <w:numId w:val="15"/>
        </w:numPr>
        <w:snapToGrid w:val="0"/>
        <w:spacing w:beforeLines="0" w:afterLines="0" w:line="360" w:lineRule="auto"/>
        <w:ind w:firstLineChars="0"/>
        <w:rPr>
          <w:rFonts w:asciiTheme="minorEastAsia" w:eastAsiaTheme="minorEastAsia" w:hAnsiTheme="minorEastAsia" w:cs="Arial"/>
          <w:b w:val="0"/>
          <w:color w:val="000000" w:themeColor="text1"/>
          <w:sz w:val="21"/>
          <w:szCs w:val="21"/>
        </w:rPr>
      </w:pPr>
      <w:r w:rsidRPr="00286323">
        <w:rPr>
          <w:rFonts w:asciiTheme="minorEastAsia" w:eastAsiaTheme="minorEastAsia" w:hAnsiTheme="minorEastAsia" w:cs="Arial"/>
          <w:b w:val="0"/>
          <w:color w:val="000000" w:themeColor="text1"/>
          <w:sz w:val="21"/>
          <w:szCs w:val="21"/>
        </w:rPr>
        <w:t>申购、赎回的数额限制</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w:t>
      </w:r>
      <w:r w:rsidRPr="00286323">
        <w:rPr>
          <w:rFonts w:asciiTheme="minorEastAsia" w:eastAsiaTheme="minorEastAsia" w:hAnsiTheme="minorEastAsia" w:cs="Arial"/>
          <w:color w:val="000000" w:themeColor="text1"/>
        </w:rPr>
        <w:t>申购</w:t>
      </w:r>
      <w:r w:rsidRPr="00286323">
        <w:rPr>
          <w:rFonts w:asciiTheme="minorEastAsia" w:eastAsiaTheme="minorEastAsia" w:hAnsiTheme="minorEastAsia" w:cs="Arial" w:hint="eastAsia"/>
          <w:color w:val="000000" w:themeColor="text1"/>
        </w:rPr>
        <w:t>的</w:t>
      </w:r>
      <w:r w:rsidRPr="00286323">
        <w:rPr>
          <w:rFonts w:asciiTheme="minorEastAsia" w:eastAsiaTheme="minorEastAsia" w:hAnsiTheme="minorEastAsia" w:cs="Arial"/>
          <w:color w:val="000000" w:themeColor="text1"/>
        </w:rPr>
        <w:t>金额限制</w:t>
      </w:r>
    </w:p>
    <w:p w:rsidR="001A7CDB" w:rsidRPr="00286323" w:rsidRDefault="001A7CDB" w:rsidP="00F71D3B">
      <w:pPr>
        <w:snapToGrid w:val="0"/>
        <w:spacing w:line="360" w:lineRule="auto"/>
        <w:ind w:firstLineChars="202" w:firstLine="424"/>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投资人通过</w:t>
      </w:r>
      <w:r w:rsidR="002B3F76" w:rsidRPr="00286323">
        <w:rPr>
          <w:rFonts w:asciiTheme="minorEastAsia" w:eastAsiaTheme="minorEastAsia" w:hAnsiTheme="minorEastAsia" w:cs="Arial" w:hint="eastAsia"/>
          <w:color w:val="000000" w:themeColor="text1"/>
        </w:rPr>
        <w:t>非直销销售机构</w:t>
      </w:r>
      <w:r w:rsidRPr="00286323">
        <w:rPr>
          <w:rFonts w:asciiTheme="minorEastAsia" w:eastAsiaTheme="minorEastAsia" w:hAnsiTheme="minorEastAsia" w:cs="Arial"/>
          <w:color w:val="000000" w:themeColor="text1"/>
        </w:rPr>
        <w:t>或本公司网上交易系统首次申购的单笔最低金额为1元人民币，</w:t>
      </w:r>
      <w:r w:rsidR="002F6F0D" w:rsidRPr="00286323">
        <w:rPr>
          <w:rFonts w:asciiTheme="minorEastAsia" w:eastAsiaTheme="minorEastAsia" w:hAnsiTheme="minorEastAsia" w:cs="Arial"/>
          <w:color w:val="000000" w:themeColor="text1"/>
        </w:rPr>
        <w:t>追加申购单笔最低金额为1元人民币</w:t>
      </w:r>
      <w:r w:rsidR="002F6F0D" w:rsidRPr="00286323">
        <w:rPr>
          <w:rFonts w:asciiTheme="minorEastAsia" w:eastAsiaTheme="minorEastAsia" w:hAnsiTheme="minorEastAsia" w:cs="Arial" w:hint="eastAsia"/>
          <w:color w:val="000000" w:themeColor="text1"/>
        </w:rPr>
        <w:t>；</w:t>
      </w:r>
      <w:r w:rsidRPr="00286323">
        <w:rPr>
          <w:rFonts w:asciiTheme="minorEastAsia" w:eastAsiaTheme="minorEastAsia" w:hAnsiTheme="minorEastAsia" w:cs="Arial"/>
          <w:color w:val="000000" w:themeColor="text1"/>
        </w:rPr>
        <w:t>通过</w:t>
      </w:r>
      <w:r w:rsidRPr="00286323">
        <w:rPr>
          <w:rFonts w:asciiTheme="minorEastAsia" w:eastAsiaTheme="minorEastAsia" w:hAnsiTheme="minorEastAsia" w:cs="Arial" w:hint="eastAsia"/>
          <w:color w:val="000000" w:themeColor="text1"/>
        </w:rPr>
        <w:t>本公司</w:t>
      </w:r>
      <w:r w:rsidRPr="00286323">
        <w:rPr>
          <w:rFonts w:asciiTheme="minorEastAsia" w:eastAsiaTheme="minorEastAsia" w:hAnsiTheme="minorEastAsia" w:cs="Arial"/>
          <w:color w:val="000000" w:themeColor="text1"/>
        </w:rPr>
        <w:t>直销中心首次申购的单笔最低金额为50000元人民币，追加申购单笔最低金额为1000元人民币。</w:t>
      </w:r>
      <w:r w:rsidR="00404CBB" w:rsidRPr="00286323">
        <w:rPr>
          <w:rFonts w:asciiTheme="minorEastAsia" w:eastAsiaTheme="minorEastAsia" w:hAnsiTheme="minorEastAsia" w:cs="Arial" w:hint="eastAsia"/>
          <w:color w:val="000000" w:themeColor="text1"/>
        </w:rPr>
        <w:t>在符合法律法规规定的前提下，</w:t>
      </w:r>
      <w:r w:rsidRPr="00286323">
        <w:rPr>
          <w:rFonts w:asciiTheme="minorEastAsia" w:eastAsiaTheme="minorEastAsia" w:hAnsiTheme="minorEastAsia" w:cs="Arial"/>
          <w:color w:val="000000" w:themeColor="text1"/>
        </w:rPr>
        <w:t>各</w:t>
      </w:r>
      <w:r w:rsidRPr="00286323">
        <w:rPr>
          <w:rFonts w:asciiTheme="minorEastAsia" w:eastAsiaTheme="minorEastAsia" w:hAnsiTheme="minorEastAsia" w:cs="Arial" w:hint="eastAsia"/>
          <w:color w:val="000000" w:themeColor="text1"/>
        </w:rPr>
        <w:t>销售</w:t>
      </w:r>
      <w:r w:rsidRPr="00286323">
        <w:rPr>
          <w:rFonts w:asciiTheme="minorEastAsia" w:eastAsiaTheme="minorEastAsia" w:hAnsiTheme="minorEastAsia" w:cs="Arial"/>
          <w:color w:val="000000" w:themeColor="text1"/>
        </w:rPr>
        <w:t>机构对最低申购限额及交易级差有其他规定的</w:t>
      </w:r>
      <w:r w:rsidR="004E1B94" w:rsidRPr="00286323">
        <w:rPr>
          <w:rFonts w:asciiTheme="minorEastAsia" w:eastAsiaTheme="minorEastAsia" w:hAnsiTheme="minorEastAsia" w:cs="Arial" w:hint="eastAsia"/>
          <w:color w:val="000000" w:themeColor="text1"/>
        </w:rPr>
        <w:t>，</w:t>
      </w:r>
      <w:r w:rsidR="00FA6000" w:rsidRPr="00286323">
        <w:rPr>
          <w:rFonts w:asciiTheme="minorEastAsia" w:eastAsiaTheme="minorEastAsia" w:hAnsiTheme="minorEastAsia" w:cs="Arial" w:hint="eastAsia"/>
          <w:color w:val="000000" w:themeColor="text1"/>
        </w:rPr>
        <w:t>需同时遵循该销售机构的相关规定</w:t>
      </w:r>
      <w:r w:rsidRPr="00286323">
        <w:rPr>
          <w:rFonts w:asciiTheme="minorEastAsia" w:eastAsiaTheme="minorEastAsia" w:hAnsiTheme="minorEastAsia" w:cs="Arial"/>
          <w:color w:val="000000" w:themeColor="text1"/>
        </w:rPr>
        <w:t>。</w:t>
      </w:r>
      <w:r w:rsidR="00326C2B" w:rsidRPr="00286323">
        <w:rPr>
          <w:rFonts w:asciiTheme="minorEastAsia" w:eastAsiaTheme="minorEastAsia" w:hAnsiTheme="minorEastAsia" w:hint="eastAsia"/>
          <w:color w:val="000000" w:themeColor="text1"/>
        </w:rPr>
        <w:t>(以上金额均含申购费)</w:t>
      </w:r>
    </w:p>
    <w:p w:rsidR="001A7CDB" w:rsidRPr="00286323" w:rsidRDefault="001A7CDB" w:rsidP="00F71D3B">
      <w:pPr>
        <w:snapToGrid w:val="0"/>
        <w:spacing w:line="360" w:lineRule="auto"/>
        <w:ind w:firstLineChars="202" w:firstLine="424"/>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lastRenderedPageBreak/>
        <w:t>投资人将当期分配的基金收益转购基金份额或采用定期定额投资计划时，不受最低申购金额的限制。</w:t>
      </w:r>
    </w:p>
    <w:p w:rsidR="001A7CDB" w:rsidRPr="00286323" w:rsidRDefault="001A7CDB" w:rsidP="00F71D3B">
      <w:pPr>
        <w:snapToGrid w:val="0"/>
        <w:spacing w:line="360" w:lineRule="auto"/>
        <w:ind w:firstLineChars="202" w:firstLine="424"/>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投资人可多次申购，对单个投资人累计持有份额不设上限限制。</w:t>
      </w:r>
      <w:r w:rsidR="00EE070B" w:rsidRPr="00286323">
        <w:rPr>
          <w:rFonts w:asciiTheme="minorEastAsia" w:eastAsiaTheme="minorEastAsia" w:hAnsiTheme="minorEastAsia" w:cs="Arial" w:hint="eastAsia"/>
          <w:color w:val="000000" w:themeColor="text1"/>
        </w:rPr>
        <w:t>但对于可能导致单一投资者持有基金份额的比例达到或者超过50%，或者变相规避50%集中度的情形，基金管理人有权采取控制措施。</w:t>
      </w:r>
      <w:r w:rsidR="00E80743" w:rsidRPr="00286323">
        <w:rPr>
          <w:rFonts w:asciiTheme="minorEastAsia" w:eastAsiaTheme="minorEastAsia" w:hAnsiTheme="minorEastAsia" w:cs="Arial" w:hint="eastAsia"/>
          <w:color w:val="000000" w:themeColor="text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r w:rsidRPr="00286323">
        <w:rPr>
          <w:rFonts w:asciiTheme="minorEastAsia" w:eastAsiaTheme="minorEastAsia" w:hAnsiTheme="minorEastAsia" w:cs="Arial"/>
          <w:color w:val="000000" w:themeColor="text1"/>
        </w:rPr>
        <w:t>法律法规、中国证监会另有规定的除外。</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bookmarkStart w:id="27" w:name="OLE_LINK2"/>
      <w:r w:rsidRPr="00286323">
        <w:rPr>
          <w:rFonts w:asciiTheme="minorEastAsia" w:eastAsiaTheme="minorEastAsia" w:hAnsiTheme="minorEastAsia" w:cs="Arial" w:hint="eastAsia"/>
          <w:color w:val="000000" w:themeColor="text1"/>
        </w:rPr>
        <w:t>2、</w:t>
      </w:r>
      <w:r w:rsidRPr="00286323">
        <w:rPr>
          <w:rFonts w:asciiTheme="minorEastAsia" w:eastAsiaTheme="minorEastAsia" w:hAnsiTheme="minorEastAsia" w:cs="Arial"/>
          <w:color w:val="000000" w:themeColor="text1"/>
        </w:rPr>
        <w:t>赎回的份额限制</w:t>
      </w:r>
    </w:p>
    <w:p w:rsidR="001A7CDB" w:rsidRPr="00286323" w:rsidRDefault="001A7CDB" w:rsidP="00F71D3B">
      <w:pPr>
        <w:snapToGrid w:val="0"/>
        <w:spacing w:line="360" w:lineRule="auto"/>
        <w:ind w:firstLineChars="202" w:firstLine="424"/>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投资人可将其全部或部分基金份额赎回。单笔赎回或转换不得少于</w:t>
      </w:r>
      <w:r w:rsidRPr="00286323">
        <w:rPr>
          <w:rFonts w:asciiTheme="minorEastAsia" w:eastAsiaTheme="minorEastAsia" w:hAnsiTheme="minorEastAsia" w:cs="Arial" w:hint="eastAsia"/>
          <w:color w:val="000000" w:themeColor="text1"/>
        </w:rPr>
        <w:t>1</w:t>
      </w:r>
      <w:r w:rsidRPr="00286323">
        <w:rPr>
          <w:rFonts w:asciiTheme="minorEastAsia" w:eastAsiaTheme="minorEastAsia" w:hAnsiTheme="minorEastAsia" w:cs="Arial"/>
          <w:color w:val="000000" w:themeColor="text1"/>
        </w:rPr>
        <w:t>份（</w:t>
      </w:r>
      <w:r w:rsidR="003E5700" w:rsidRPr="00286323">
        <w:rPr>
          <w:rFonts w:asciiTheme="minorEastAsia" w:eastAsiaTheme="minorEastAsia" w:hAnsiTheme="minorEastAsia" w:cs="Arial"/>
          <w:color w:val="000000" w:themeColor="text1"/>
        </w:rPr>
        <w:t>如该账户在该销售机构托管的</w:t>
      </w:r>
      <w:r w:rsidR="003E5700" w:rsidRPr="00286323">
        <w:rPr>
          <w:rFonts w:asciiTheme="minorEastAsia" w:eastAsiaTheme="minorEastAsia" w:hAnsiTheme="minorEastAsia" w:cs="Arial" w:hint="eastAsia"/>
          <w:color w:val="000000" w:themeColor="text1"/>
        </w:rPr>
        <w:t>该</w:t>
      </w:r>
      <w:r w:rsidR="003E5700" w:rsidRPr="00286323">
        <w:rPr>
          <w:rFonts w:asciiTheme="minorEastAsia" w:eastAsiaTheme="minorEastAsia" w:hAnsiTheme="minorEastAsia" w:cs="Arial"/>
          <w:color w:val="000000" w:themeColor="text1"/>
        </w:rPr>
        <w:t>基金余额不足</w:t>
      </w:r>
      <w:r w:rsidRPr="00286323">
        <w:rPr>
          <w:rFonts w:asciiTheme="minorEastAsia" w:eastAsiaTheme="minorEastAsia" w:hAnsiTheme="minorEastAsia" w:cs="Arial" w:hint="eastAsia"/>
          <w:color w:val="000000" w:themeColor="text1"/>
        </w:rPr>
        <w:t>1</w:t>
      </w:r>
      <w:r w:rsidRPr="00286323">
        <w:rPr>
          <w:rFonts w:asciiTheme="minorEastAsia" w:eastAsiaTheme="minorEastAsia" w:hAnsiTheme="minorEastAsia" w:cs="Arial"/>
          <w:color w:val="000000" w:themeColor="text1"/>
        </w:rPr>
        <w:t>份，则必须一次性赎回或转出该基金全部份额）；若某笔赎回将导致投资人在</w:t>
      </w:r>
      <w:r w:rsidR="003E5700" w:rsidRPr="00286323">
        <w:rPr>
          <w:rFonts w:asciiTheme="minorEastAsia" w:eastAsiaTheme="minorEastAsia" w:hAnsiTheme="minorEastAsia" w:cs="Arial" w:hint="eastAsia"/>
          <w:color w:val="000000" w:themeColor="text1"/>
        </w:rPr>
        <w:t>该</w:t>
      </w:r>
      <w:r w:rsidRPr="00286323">
        <w:rPr>
          <w:rFonts w:asciiTheme="minorEastAsia" w:eastAsiaTheme="minorEastAsia" w:hAnsiTheme="minorEastAsia" w:cs="Arial"/>
          <w:color w:val="000000" w:themeColor="text1"/>
        </w:rPr>
        <w:t>销售机构托管的</w:t>
      </w:r>
      <w:r w:rsidR="003E5700" w:rsidRPr="00286323">
        <w:rPr>
          <w:rFonts w:asciiTheme="minorEastAsia" w:eastAsiaTheme="minorEastAsia" w:hAnsiTheme="minorEastAsia" w:cs="Arial" w:hint="eastAsia"/>
          <w:color w:val="000000" w:themeColor="text1"/>
        </w:rPr>
        <w:t>该</w:t>
      </w:r>
      <w:r w:rsidRPr="00286323">
        <w:rPr>
          <w:rFonts w:asciiTheme="minorEastAsia" w:eastAsiaTheme="minorEastAsia" w:hAnsiTheme="minorEastAsia" w:cs="Arial"/>
          <w:color w:val="000000" w:themeColor="text1"/>
        </w:rPr>
        <w:t>基金余额不足</w:t>
      </w:r>
      <w:r w:rsidRPr="00286323">
        <w:rPr>
          <w:rFonts w:asciiTheme="minorEastAsia" w:eastAsiaTheme="minorEastAsia" w:hAnsiTheme="minorEastAsia" w:cs="Arial" w:hint="eastAsia"/>
          <w:color w:val="000000" w:themeColor="text1"/>
        </w:rPr>
        <w:t>1</w:t>
      </w:r>
      <w:r w:rsidRPr="00286323">
        <w:rPr>
          <w:rFonts w:asciiTheme="minorEastAsia" w:eastAsiaTheme="minorEastAsia" w:hAnsiTheme="minorEastAsia" w:cs="Arial"/>
          <w:color w:val="000000" w:themeColor="text1"/>
        </w:rPr>
        <w:t>份时，基金管理人有权将投资人在该销售机构托管的该基金剩余份额一次性全部赎回。</w:t>
      </w:r>
      <w:r w:rsidR="001B6A3C" w:rsidRPr="00286323">
        <w:rPr>
          <w:rFonts w:asciiTheme="minorEastAsia" w:eastAsiaTheme="minorEastAsia" w:hAnsiTheme="minorEastAsia" w:cs="Arial" w:hint="eastAsia"/>
          <w:color w:val="000000" w:themeColor="text1"/>
        </w:rPr>
        <w:t>在符合法律法规规定的前提下，</w:t>
      </w:r>
      <w:r w:rsidRPr="00286323">
        <w:rPr>
          <w:rFonts w:asciiTheme="minorEastAsia" w:eastAsiaTheme="minorEastAsia" w:hAnsiTheme="minorEastAsia" w:cs="Arial"/>
          <w:color w:val="000000" w:themeColor="text1"/>
        </w:rPr>
        <w:t>各销售机构对赎回份额限制有其他规定的</w:t>
      </w:r>
      <w:r w:rsidR="008A6361" w:rsidRPr="00286323">
        <w:rPr>
          <w:rFonts w:asciiTheme="minorEastAsia" w:eastAsiaTheme="minorEastAsia" w:hAnsiTheme="minorEastAsia" w:cs="Arial" w:hint="eastAsia"/>
          <w:color w:val="000000" w:themeColor="text1"/>
        </w:rPr>
        <w:t>，</w:t>
      </w:r>
      <w:r w:rsidR="00FA6000" w:rsidRPr="00286323">
        <w:rPr>
          <w:rFonts w:asciiTheme="minorEastAsia" w:eastAsiaTheme="minorEastAsia" w:hAnsiTheme="minorEastAsia" w:cs="Arial" w:hint="eastAsia"/>
          <w:color w:val="000000" w:themeColor="text1"/>
        </w:rPr>
        <w:t>需同时遵循该销售机构的相关规定</w:t>
      </w:r>
      <w:r w:rsidRPr="00286323">
        <w:rPr>
          <w:rFonts w:asciiTheme="minorEastAsia" w:eastAsiaTheme="minorEastAsia" w:hAnsiTheme="minorEastAsia" w:cs="Arial"/>
          <w:color w:val="000000" w:themeColor="text1"/>
        </w:rPr>
        <w:t>。</w:t>
      </w:r>
    </w:p>
    <w:bookmarkEnd w:id="27"/>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3、</w:t>
      </w:r>
      <w:r w:rsidRPr="00286323">
        <w:rPr>
          <w:rFonts w:asciiTheme="minorEastAsia" w:eastAsiaTheme="minorEastAsia" w:hAnsiTheme="minorEastAsia" w:cs="Arial"/>
          <w:color w:val="000000" w:themeColor="text1"/>
        </w:rPr>
        <w:t>基金管理人可根据市场情况制定或调整上述申购、赎回的程序及有关限制</w:t>
      </w:r>
      <w:r w:rsidR="00E80743" w:rsidRPr="00286323">
        <w:rPr>
          <w:rFonts w:asciiTheme="minorEastAsia" w:eastAsiaTheme="minorEastAsia" w:hAnsiTheme="minorEastAsia" w:cs="Arial" w:hint="eastAsia"/>
          <w:color w:val="000000" w:themeColor="text1"/>
        </w:rPr>
        <w:t>，或者新增基金规模控制措施</w:t>
      </w:r>
      <w:r w:rsidRPr="00286323">
        <w:rPr>
          <w:rFonts w:asciiTheme="minorEastAsia" w:eastAsiaTheme="minorEastAsia" w:hAnsiTheme="minorEastAsia" w:cs="Arial"/>
          <w:color w:val="000000" w:themeColor="text1"/>
        </w:rPr>
        <w:t>，但应按照《信息披露办法》或其他相关规定在调整生效前</w:t>
      </w:r>
      <w:r w:rsidR="004533AA" w:rsidRPr="00286323">
        <w:rPr>
          <w:rFonts w:asciiTheme="minorEastAsia" w:eastAsiaTheme="minorEastAsia" w:hAnsiTheme="minorEastAsia" w:cs="Arial" w:hint="eastAsia"/>
          <w:color w:val="000000" w:themeColor="text1"/>
        </w:rPr>
        <w:t>在指定媒介上公告</w:t>
      </w:r>
      <w:r w:rsidRPr="00286323">
        <w:rPr>
          <w:rFonts w:asciiTheme="minorEastAsia" w:eastAsiaTheme="minorEastAsia" w:hAnsiTheme="minorEastAsia" w:cs="Arial"/>
          <w:color w:val="000000" w:themeColor="text1"/>
        </w:rPr>
        <w:t>。</w:t>
      </w:r>
    </w:p>
    <w:p w:rsidR="001A7CDB" w:rsidRPr="00286323" w:rsidRDefault="001A7CDB" w:rsidP="00F71D3B">
      <w:pPr>
        <w:pStyle w:val="20"/>
        <w:numPr>
          <w:ilvl w:val="0"/>
          <w:numId w:val="15"/>
        </w:numPr>
        <w:snapToGrid w:val="0"/>
        <w:spacing w:beforeLines="0" w:afterLines="0" w:line="360" w:lineRule="auto"/>
        <w:ind w:firstLineChars="0"/>
        <w:rPr>
          <w:rFonts w:asciiTheme="minorEastAsia" w:eastAsiaTheme="minorEastAsia" w:hAnsiTheme="minorEastAsia" w:cs="Arial"/>
          <w:b w:val="0"/>
          <w:color w:val="000000" w:themeColor="text1"/>
          <w:sz w:val="21"/>
          <w:szCs w:val="21"/>
        </w:rPr>
      </w:pPr>
      <w:r w:rsidRPr="00286323">
        <w:rPr>
          <w:rFonts w:asciiTheme="minorEastAsia" w:eastAsiaTheme="minorEastAsia" w:hAnsiTheme="minorEastAsia" w:cs="Arial"/>
          <w:b w:val="0"/>
          <w:color w:val="000000" w:themeColor="text1"/>
          <w:sz w:val="21"/>
          <w:szCs w:val="21"/>
        </w:rPr>
        <w:t>申购、赎回的费率</w:t>
      </w:r>
    </w:p>
    <w:p w:rsidR="001A7CDB" w:rsidRPr="00286323" w:rsidRDefault="001A7CDB" w:rsidP="00F71D3B">
      <w:pPr>
        <w:snapToGrid w:val="0"/>
        <w:spacing w:line="360" w:lineRule="auto"/>
        <w:ind w:firstLineChars="202" w:firstLine="424"/>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本基金的申购、赎回费率设置如下表所示：</w:t>
      </w:r>
    </w:p>
    <w:p w:rsidR="00A27045" w:rsidRPr="00286323" w:rsidRDefault="00A27045" w:rsidP="00F71D3B">
      <w:pPr>
        <w:snapToGrid w:val="0"/>
        <w:spacing w:line="360" w:lineRule="auto"/>
        <w:ind w:firstLineChars="202" w:firstLine="424"/>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本基金对通过本公司直销中心申购的特定投资群体与除此之外的其他投资者实施差别的申购费率。</w:t>
      </w:r>
    </w:p>
    <w:p w:rsidR="00A27045" w:rsidRPr="00286323" w:rsidRDefault="00A27045" w:rsidP="00F71D3B">
      <w:pPr>
        <w:snapToGrid w:val="0"/>
        <w:spacing w:line="360" w:lineRule="auto"/>
        <w:ind w:firstLineChars="202" w:firstLine="424"/>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A27045" w:rsidRPr="00286323" w:rsidRDefault="00A27045" w:rsidP="00F71D3B">
      <w:pPr>
        <w:snapToGrid w:val="0"/>
        <w:spacing w:line="360" w:lineRule="auto"/>
        <w:ind w:firstLineChars="202" w:firstLine="424"/>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通过基金管理人的直销中心申购本基金的特定投资群体申购费率为：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8"/>
        <w:gridCol w:w="4237"/>
      </w:tblGrid>
      <w:tr w:rsidR="00286323" w:rsidRPr="00286323" w:rsidTr="00AA1F53">
        <w:tc>
          <w:tcPr>
            <w:tcW w:w="2506" w:type="pct"/>
          </w:tcPr>
          <w:p w:rsidR="00A27045" w:rsidRPr="00286323" w:rsidRDefault="00A27045" w:rsidP="00F71D3B">
            <w:pPr>
              <w:snapToGrid w:val="0"/>
              <w:spacing w:line="360" w:lineRule="auto"/>
              <w:ind w:firstLine="420"/>
              <w:jc w:val="center"/>
              <w:rPr>
                <w:rFonts w:asciiTheme="minorEastAsia" w:eastAsiaTheme="minorEastAsia" w:hAnsiTheme="minorEastAsia" w:cs="Arial"/>
                <w:b/>
                <w:color w:val="000000" w:themeColor="text1"/>
              </w:rPr>
            </w:pPr>
            <w:r w:rsidRPr="00286323">
              <w:rPr>
                <w:rFonts w:asciiTheme="minorEastAsia" w:eastAsiaTheme="minorEastAsia" w:hAnsiTheme="minorEastAsia" w:cs="Arial"/>
                <w:b/>
                <w:color w:val="000000" w:themeColor="text1"/>
              </w:rPr>
              <w:t>申购金额</w:t>
            </w:r>
            <w:r w:rsidRPr="00286323">
              <w:rPr>
                <w:rFonts w:asciiTheme="minorEastAsia" w:eastAsiaTheme="minorEastAsia" w:hAnsiTheme="minorEastAsia"/>
                <w:b/>
                <w:color w:val="000000" w:themeColor="text1"/>
              </w:rPr>
              <w:t>M</w:t>
            </w:r>
            <w:r w:rsidR="008F1AE4" w:rsidRPr="00286323">
              <w:rPr>
                <w:rFonts w:asciiTheme="minorEastAsia" w:eastAsiaTheme="minorEastAsia" w:hAnsiTheme="minorEastAsia" w:hint="eastAsia"/>
                <w:b/>
                <w:color w:val="000000" w:themeColor="text1"/>
              </w:rPr>
              <w:t>（元）</w:t>
            </w:r>
            <w:r w:rsidRPr="00286323">
              <w:rPr>
                <w:rFonts w:asciiTheme="minorEastAsia" w:eastAsiaTheme="minorEastAsia" w:hAnsiTheme="minorEastAsia" w:cs="Arial"/>
                <w:b/>
                <w:color w:val="000000" w:themeColor="text1"/>
              </w:rPr>
              <w:t>（含申购费）</w:t>
            </w:r>
          </w:p>
        </w:tc>
        <w:tc>
          <w:tcPr>
            <w:tcW w:w="2494" w:type="pct"/>
          </w:tcPr>
          <w:p w:rsidR="00A27045" w:rsidRPr="00286323" w:rsidRDefault="00A27045" w:rsidP="00F71D3B">
            <w:pPr>
              <w:snapToGrid w:val="0"/>
              <w:spacing w:line="360" w:lineRule="auto"/>
              <w:ind w:firstLine="420"/>
              <w:jc w:val="center"/>
              <w:rPr>
                <w:rFonts w:asciiTheme="minorEastAsia" w:eastAsiaTheme="minorEastAsia" w:hAnsiTheme="minorEastAsia" w:cs="Arial"/>
                <w:b/>
                <w:color w:val="000000" w:themeColor="text1"/>
              </w:rPr>
            </w:pPr>
            <w:r w:rsidRPr="00286323">
              <w:rPr>
                <w:rFonts w:asciiTheme="minorEastAsia" w:eastAsiaTheme="minorEastAsia" w:hAnsiTheme="minorEastAsia" w:cs="Arial"/>
                <w:b/>
                <w:color w:val="000000" w:themeColor="text1"/>
              </w:rPr>
              <w:t>申购费率</w:t>
            </w:r>
          </w:p>
        </w:tc>
      </w:tr>
      <w:tr w:rsidR="00286323" w:rsidRPr="00286323" w:rsidTr="00AA1F53">
        <w:tc>
          <w:tcPr>
            <w:tcW w:w="2506" w:type="pct"/>
          </w:tcPr>
          <w:p w:rsidR="00A27045" w:rsidRPr="00286323" w:rsidRDefault="00A27045"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M＜100万</w:t>
            </w:r>
          </w:p>
        </w:tc>
        <w:tc>
          <w:tcPr>
            <w:tcW w:w="2494" w:type="pct"/>
          </w:tcPr>
          <w:p w:rsidR="00A27045" w:rsidRPr="00286323" w:rsidRDefault="00A27045" w:rsidP="00F71D3B">
            <w:pPr>
              <w:snapToGrid w:val="0"/>
              <w:spacing w:line="360" w:lineRule="auto"/>
              <w:ind w:firstLine="420"/>
              <w:jc w:val="center"/>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0</w:t>
            </w:r>
            <w:r w:rsidRPr="00286323">
              <w:rPr>
                <w:rFonts w:asciiTheme="minorEastAsia" w:eastAsiaTheme="minorEastAsia" w:hAnsiTheme="minorEastAsia" w:cs="Arial"/>
                <w:color w:val="000000" w:themeColor="text1"/>
              </w:rPr>
              <w:t>.</w:t>
            </w:r>
            <w:r w:rsidRPr="00286323">
              <w:rPr>
                <w:rFonts w:asciiTheme="minorEastAsia" w:eastAsiaTheme="minorEastAsia" w:hAnsiTheme="minorEastAsia" w:cs="Arial" w:hint="eastAsia"/>
                <w:color w:val="000000" w:themeColor="text1"/>
              </w:rPr>
              <w:t>1</w:t>
            </w:r>
            <w:r w:rsidRPr="00286323">
              <w:rPr>
                <w:rFonts w:asciiTheme="minorEastAsia" w:eastAsiaTheme="minorEastAsia" w:hAnsiTheme="minorEastAsia" w:cs="Arial"/>
                <w:color w:val="000000" w:themeColor="text1"/>
              </w:rPr>
              <w:t>5%</w:t>
            </w:r>
          </w:p>
        </w:tc>
      </w:tr>
      <w:tr w:rsidR="00286323" w:rsidRPr="00286323" w:rsidTr="00AA1F53">
        <w:tc>
          <w:tcPr>
            <w:tcW w:w="2506" w:type="pct"/>
          </w:tcPr>
          <w:p w:rsidR="00A27045" w:rsidRPr="00286323" w:rsidRDefault="00A27045"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100万≤M＜500万</w:t>
            </w:r>
          </w:p>
        </w:tc>
        <w:tc>
          <w:tcPr>
            <w:tcW w:w="2494" w:type="pct"/>
          </w:tcPr>
          <w:p w:rsidR="00A27045" w:rsidRPr="00286323" w:rsidRDefault="00A27045" w:rsidP="00F71D3B">
            <w:pPr>
              <w:snapToGrid w:val="0"/>
              <w:spacing w:line="360" w:lineRule="auto"/>
              <w:ind w:firstLine="420"/>
              <w:jc w:val="center"/>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0</w:t>
            </w:r>
            <w:r w:rsidRPr="00286323">
              <w:rPr>
                <w:rFonts w:asciiTheme="minorEastAsia" w:eastAsiaTheme="minorEastAsia" w:hAnsiTheme="minorEastAsia" w:cs="Arial"/>
                <w:color w:val="000000" w:themeColor="text1"/>
              </w:rPr>
              <w:t>.</w:t>
            </w:r>
            <w:r w:rsidRPr="00286323">
              <w:rPr>
                <w:rFonts w:asciiTheme="minorEastAsia" w:eastAsiaTheme="minorEastAsia" w:hAnsiTheme="minorEastAsia" w:cs="Arial" w:hint="eastAsia"/>
                <w:color w:val="000000" w:themeColor="text1"/>
              </w:rPr>
              <w:t>1</w:t>
            </w:r>
            <w:r w:rsidRPr="00286323">
              <w:rPr>
                <w:rFonts w:asciiTheme="minorEastAsia" w:eastAsiaTheme="minorEastAsia" w:hAnsiTheme="minorEastAsia" w:cs="Arial"/>
                <w:color w:val="000000" w:themeColor="text1"/>
              </w:rPr>
              <w:t>2%</w:t>
            </w:r>
          </w:p>
        </w:tc>
      </w:tr>
      <w:tr w:rsidR="00286323" w:rsidRPr="00286323" w:rsidTr="00AA1F53">
        <w:tc>
          <w:tcPr>
            <w:tcW w:w="2506" w:type="pct"/>
          </w:tcPr>
          <w:p w:rsidR="00A27045" w:rsidRPr="00286323" w:rsidRDefault="00A27045"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500万≤M＜1000万</w:t>
            </w:r>
          </w:p>
        </w:tc>
        <w:tc>
          <w:tcPr>
            <w:tcW w:w="2494" w:type="pct"/>
          </w:tcPr>
          <w:p w:rsidR="00A27045" w:rsidRPr="00286323" w:rsidRDefault="00A27045" w:rsidP="00F71D3B">
            <w:pPr>
              <w:snapToGrid w:val="0"/>
              <w:spacing w:line="360" w:lineRule="auto"/>
              <w:ind w:firstLine="420"/>
              <w:jc w:val="center"/>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0.</w:t>
            </w:r>
            <w:r w:rsidRPr="00286323">
              <w:rPr>
                <w:rFonts w:asciiTheme="minorEastAsia" w:eastAsiaTheme="minorEastAsia" w:hAnsiTheme="minorEastAsia" w:cs="Arial" w:hint="eastAsia"/>
                <w:color w:val="000000" w:themeColor="text1"/>
              </w:rPr>
              <w:t>0</w:t>
            </w:r>
            <w:r w:rsidRPr="00286323">
              <w:rPr>
                <w:rFonts w:asciiTheme="minorEastAsia" w:eastAsiaTheme="minorEastAsia" w:hAnsiTheme="minorEastAsia" w:cs="Arial"/>
                <w:color w:val="000000" w:themeColor="text1"/>
              </w:rPr>
              <w:t>3%</w:t>
            </w:r>
          </w:p>
        </w:tc>
      </w:tr>
      <w:tr w:rsidR="00286323" w:rsidRPr="00286323" w:rsidTr="00AA1F53">
        <w:tc>
          <w:tcPr>
            <w:tcW w:w="2506" w:type="pct"/>
          </w:tcPr>
          <w:p w:rsidR="00A27045" w:rsidRPr="00286323" w:rsidRDefault="00A27045"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M≥1000万</w:t>
            </w:r>
          </w:p>
        </w:tc>
        <w:tc>
          <w:tcPr>
            <w:tcW w:w="2494" w:type="pct"/>
          </w:tcPr>
          <w:p w:rsidR="00A27045" w:rsidRPr="00286323" w:rsidRDefault="00A27045" w:rsidP="00F71D3B">
            <w:pPr>
              <w:snapToGrid w:val="0"/>
              <w:spacing w:line="360" w:lineRule="auto"/>
              <w:ind w:firstLineChars="632" w:firstLine="1327"/>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1000元/笔</w:t>
            </w:r>
          </w:p>
        </w:tc>
      </w:tr>
    </w:tbl>
    <w:p w:rsidR="001A7CDB" w:rsidRPr="00286323" w:rsidRDefault="00A27045" w:rsidP="00F71D3B">
      <w:pPr>
        <w:snapToGrid w:val="0"/>
        <w:spacing w:line="360" w:lineRule="auto"/>
        <w:ind w:firstLineChars="202" w:firstLine="424"/>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lastRenderedPageBreak/>
        <w:t>其他投资者申购本基金的</w:t>
      </w:r>
      <w:r w:rsidR="001A7CDB" w:rsidRPr="00286323">
        <w:rPr>
          <w:rFonts w:asciiTheme="minorEastAsia" w:eastAsiaTheme="minorEastAsia" w:hAnsiTheme="minorEastAsia" w:cs="Arial"/>
          <w:color w:val="000000" w:themeColor="text1"/>
        </w:rPr>
        <w:t>申购费率为：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8"/>
        <w:gridCol w:w="4237"/>
      </w:tblGrid>
      <w:tr w:rsidR="00286323" w:rsidRPr="00286323" w:rsidTr="00D648D0">
        <w:tc>
          <w:tcPr>
            <w:tcW w:w="2506" w:type="pct"/>
          </w:tcPr>
          <w:p w:rsidR="001A7CDB" w:rsidRPr="00286323" w:rsidRDefault="001A7CDB" w:rsidP="00F71D3B">
            <w:pPr>
              <w:snapToGrid w:val="0"/>
              <w:spacing w:line="360" w:lineRule="auto"/>
              <w:ind w:firstLine="420"/>
              <w:jc w:val="center"/>
              <w:rPr>
                <w:rFonts w:asciiTheme="minorEastAsia" w:eastAsiaTheme="minorEastAsia" w:hAnsiTheme="minorEastAsia" w:cs="Arial"/>
                <w:b/>
                <w:color w:val="000000" w:themeColor="text1"/>
              </w:rPr>
            </w:pPr>
            <w:r w:rsidRPr="00286323">
              <w:rPr>
                <w:rFonts w:asciiTheme="minorEastAsia" w:eastAsiaTheme="minorEastAsia" w:hAnsiTheme="minorEastAsia" w:cs="Arial"/>
                <w:b/>
                <w:color w:val="000000" w:themeColor="text1"/>
              </w:rPr>
              <w:t>申购金额</w:t>
            </w:r>
            <w:r w:rsidRPr="00286323">
              <w:rPr>
                <w:rFonts w:asciiTheme="minorEastAsia" w:eastAsiaTheme="minorEastAsia" w:hAnsiTheme="minorEastAsia"/>
                <w:b/>
                <w:color w:val="000000" w:themeColor="text1"/>
              </w:rPr>
              <w:t>M（元）</w:t>
            </w:r>
            <w:r w:rsidRPr="00286323">
              <w:rPr>
                <w:rFonts w:asciiTheme="minorEastAsia" w:eastAsiaTheme="minorEastAsia" w:hAnsiTheme="minorEastAsia" w:cs="Arial"/>
                <w:b/>
                <w:color w:val="000000" w:themeColor="text1"/>
              </w:rPr>
              <w:t>（含申购费）</w:t>
            </w:r>
          </w:p>
        </w:tc>
        <w:tc>
          <w:tcPr>
            <w:tcW w:w="2494" w:type="pct"/>
          </w:tcPr>
          <w:p w:rsidR="001A7CDB" w:rsidRPr="00286323" w:rsidRDefault="001A7CDB" w:rsidP="00F71D3B">
            <w:pPr>
              <w:snapToGrid w:val="0"/>
              <w:spacing w:line="360" w:lineRule="auto"/>
              <w:ind w:firstLine="420"/>
              <w:jc w:val="center"/>
              <w:rPr>
                <w:rFonts w:asciiTheme="minorEastAsia" w:eastAsiaTheme="minorEastAsia" w:hAnsiTheme="minorEastAsia" w:cs="Arial"/>
                <w:b/>
                <w:color w:val="000000" w:themeColor="text1"/>
              </w:rPr>
            </w:pPr>
            <w:r w:rsidRPr="00286323">
              <w:rPr>
                <w:rFonts w:asciiTheme="minorEastAsia" w:eastAsiaTheme="minorEastAsia" w:hAnsiTheme="minorEastAsia" w:cs="Arial"/>
                <w:b/>
                <w:color w:val="000000" w:themeColor="text1"/>
              </w:rPr>
              <w:t>申购费率</w:t>
            </w:r>
          </w:p>
        </w:tc>
      </w:tr>
      <w:tr w:rsidR="00286323" w:rsidRPr="00286323" w:rsidTr="00D648D0">
        <w:tc>
          <w:tcPr>
            <w:tcW w:w="2506" w:type="pct"/>
          </w:tcPr>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M＜100万</w:t>
            </w:r>
          </w:p>
        </w:tc>
        <w:tc>
          <w:tcPr>
            <w:tcW w:w="2494" w:type="pct"/>
          </w:tcPr>
          <w:p w:rsidR="001A7CDB" w:rsidRPr="00286323" w:rsidRDefault="001A7CDB" w:rsidP="00F71D3B">
            <w:pPr>
              <w:snapToGrid w:val="0"/>
              <w:spacing w:line="360" w:lineRule="auto"/>
              <w:ind w:firstLine="420"/>
              <w:jc w:val="center"/>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1.5%</w:t>
            </w:r>
          </w:p>
        </w:tc>
      </w:tr>
      <w:tr w:rsidR="00286323" w:rsidRPr="00286323" w:rsidTr="00D648D0">
        <w:tc>
          <w:tcPr>
            <w:tcW w:w="2506" w:type="pct"/>
          </w:tcPr>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100万≤M＜500万</w:t>
            </w:r>
          </w:p>
        </w:tc>
        <w:tc>
          <w:tcPr>
            <w:tcW w:w="2494" w:type="pct"/>
          </w:tcPr>
          <w:p w:rsidR="001A7CDB" w:rsidRPr="00286323" w:rsidRDefault="001A7CDB" w:rsidP="00F71D3B">
            <w:pPr>
              <w:snapToGrid w:val="0"/>
              <w:spacing w:line="360" w:lineRule="auto"/>
              <w:ind w:firstLine="420"/>
              <w:jc w:val="center"/>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1.2%</w:t>
            </w:r>
          </w:p>
        </w:tc>
      </w:tr>
      <w:tr w:rsidR="00286323" w:rsidRPr="00286323" w:rsidTr="00D648D0">
        <w:tc>
          <w:tcPr>
            <w:tcW w:w="2506" w:type="pct"/>
          </w:tcPr>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500万≤M＜1000万</w:t>
            </w:r>
          </w:p>
        </w:tc>
        <w:tc>
          <w:tcPr>
            <w:tcW w:w="2494" w:type="pct"/>
          </w:tcPr>
          <w:p w:rsidR="001A7CDB" w:rsidRPr="00286323" w:rsidRDefault="001A7CDB" w:rsidP="00F71D3B">
            <w:pPr>
              <w:snapToGrid w:val="0"/>
              <w:spacing w:line="360" w:lineRule="auto"/>
              <w:ind w:firstLine="420"/>
              <w:jc w:val="center"/>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0.3%</w:t>
            </w:r>
          </w:p>
        </w:tc>
      </w:tr>
      <w:tr w:rsidR="00286323" w:rsidRPr="00286323" w:rsidTr="00D648D0">
        <w:tc>
          <w:tcPr>
            <w:tcW w:w="2506" w:type="pct"/>
          </w:tcPr>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M≥1000万</w:t>
            </w:r>
          </w:p>
        </w:tc>
        <w:tc>
          <w:tcPr>
            <w:tcW w:w="2494" w:type="pct"/>
          </w:tcPr>
          <w:p w:rsidR="001A7CDB" w:rsidRPr="00286323" w:rsidRDefault="001A7CDB" w:rsidP="00F71D3B">
            <w:pPr>
              <w:snapToGrid w:val="0"/>
              <w:spacing w:line="360" w:lineRule="auto"/>
              <w:ind w:firstLineChars="632" w:firstLine="1327"/>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1000元/笔</w:t>
            </w:r>
          </w:p>
        </w:tc>
      </w:tr>
    </w:tbl>
    <w:p w:rsidR="001A7CDB" w:rsidRPr="00286323" w:rsidRDefault="001A7CDB" w:rsidP="00F71D3B">
      <w:pPr>
        <w:snapToGrid w:val="0"/>
        <w:spacing w:line="360" w:lineRule="auto"/>
        <w:ind w:firstLineChars="202" w:firstLine="424"/>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赎回费率为：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2"/>
        <w:gridCol w:w="4273"/>
      </w:tblGrid>
      <w:tr w:rsidR="00286323" w:rsidRPr="00286323" w:rsidTr="00D648D0">
        <w:tc>
          <w:tcPr>
            <w:tcW w:w="2485" w:type="pct"/>
          </w:tcPr>
          <w:p w:rsidR="001A7CDB" w:rsidRPr="00286323" w:rsidRDefault="001A7CDB" w:rsidP="00F71D3B">
            <w:pPr>
              <w:snapToGrid w:val="0"/>
              <w:spacing w:line="360" w:lineRule="auto"/>
              <w:jc w:val="center"/>
              <w:rPr>
                <w:rFonts w:asciiTheme="minorEastAsia" w:eastAsiaTheme="minorEastAsia" w:hAnsiTheme="minorEastAsia" w:cs="Arial"/>
                <w:b/>
                <w:color w:val="000000" w:themeColor="text1"/>
              </w:rPr>
            </w:pPr>
            <w:r w:rsidRPr="00286323">
              <w:rPr>
                <w:rFonts w:asciiTheme="minorEastAsia" w:eastAsiaTheme="minorEastAsia" w:hAnsiTheme="minorEastAsia" w:cs="Arial"/>
                <w:b/>
                <w:color w:val="000000" w:themeColor="text1"/>
              </w:rPr>
              <w:t>持有时间（天）</w:t>
            </w:r>
          </w:p>
        </w:tc>
        <w:tc>
          <w:tcPr>
            <w:tcW w:w="2515" w:type="pct"/>
          </w:tcPr>
          <w:p w:rsidR="001A7CDB" w:rsidRPr="00286323" w:rsidRDefault="001A7CDB" w:rsidP="00F71D3B">
            <w:pPr>
              <w:snapToGrid w:val="0"/>
              <w:spacing w:line="360" w:lineRule="auto"/>
              <w:jc w:val="center"/>
              <w:rPr>
                <w:rFonts w:asciiTheme="minorEastAsia" w:eastAsiaTheme="minorEastAsia" w:hAnsiTheme="minorEastAsia" w:cs="Arial"/>
                <w:b/>
                <w:color w:val="000000" w:themeColor="text1"/>
              </w:rPr>
            </w:pPr>
            <w:r w:rsidRPr="00286323">
              <w:rPr>
                <w:rFonts w:asciiTheme="minorEastAsia" w:eastAsiaTheme="minorEastAsia" w:hAnsiTheme="minorEastAsia" w:cs="Arial"/>
                <w:b/>
                <w:color w:val="000000" w:themeColor="text1"/>
              </w:rPr>
              <w:t>赎回费率</w:t>
            </w:r>
          </w:p>
        </w:tc>
      </w:tr>
      <w:tr w:rsidR="00286323" w:rsidRPr="00286323" w:rsidTr="00D648D0">
        <w:tc>
          <w:tcPr>
            <w:tcW w:w="2485" w:type="pct"/>
          </w:tcPr>
          <w:p w:rsidR="00E80743" w:rsidRPr="00286323" w:rsidRDefault="00907BEB" w:rsidP="00F71D3B">
            <w:pPr>
              <w:snapToGrid w:val="0"/>
              <w:spacing w:line="360" w:lineRule="auto"/>
              <w:jc w:val="center"/>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0-6</w:t>
            </w:r>
          </w:p>
        </w:tc>
        <w:tc>
          <w:tcPr>
            <w:tcW w:w="2515" w:type="pct"/>
          </w:tcPr>
          <w:p w:rsidR="00E80743" w:rsidRPr="00286323" w:rsidRDefault="00907BEB" w:rsidP="00F71D3B">
            <w:pPr>
              <w:snapToGrid w:val="0"/>
              <w:spacing w:line="360" w:lineRule="auto"/>
              <w:jc w:val="center"/>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1.5%</w:t>
            </w:r>
          </w:p>
        </w:tc>
      </w:tr>
      <w:tr w:rsidR="00286323" w:rsidRPr="00286323" w:rsidTr="00D648D0">
        <w:tc>
          <w:tcPr>
            <w:tcW w:w="2485" w:type="pct"/>
          </w:tcPr>
          <w:p w:rsidR="001A7CDB" w:rsidRPr="00286323" w:rsidRDefault="00E80743" w:rsidP="00F71D3B">
            <w:pPr>
              <w:snapToGrid w:val="0"/>
              <w:spacing w:line="360" w:lineRule="auto"/>
              <w:jc w:val="center"/>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7</w:t>
            </w:r>
            <w:r w:rsidR="001A7CDB" w:rsidRPr="00286323">
              <w:rPr>
                <w:rFonts w:asciiTheme="minorEastAsia" w:eastAsiaTheme="minorEastAsia" w:hAnsiTheme="minorEastAsia" w:cs="Arial"/>
                <w:color w:val="000000" w:themeColor="text1"/>
              </w:rPr>
              <w:t>-364</w:t>
            </w:r>
          </w:p>
        </w:tc>
        <w:tc>
          <w:tcPr>
            <w:tcW w:w="2515" w:type="pct"/>
          </w:tcPr>
          <w:p w:rsidR="001A7CDB" w:rsidRPr="00286323" w:rsidRDefault="001A7CDB" w:rsidP="00F71D3B">
            <w:pPr>
              <w:snapToGrid w:val="0"/>
              <w:spacing w:line="360" w:lineRule="auto"/>
              <w:jc w:val="center"/>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0.5%</w:t>
            </w:r>
          </w:p>
        </w:tc>
      </w:tr>
      <w:tr w:rsidR="00286323" w:rsidRPr="00286323" w:rsidTr="00D648D0">
        <w:tc>
          <w:tcPr>
            <w:tcW w:w="2485" w:type="pct"/>
          </w:tcPr>
          <w:p w:rsidR="001A7CDB" w:rsidRPr="00286323" w:rsidRDefault="001A7CDB" w:rsidP="00F71D3B">
            <w:pPr>
              <w:snapToGrid w:val="0"/>
              <w:spacing w:line="360" w:lineRule="auto"/>
              <w:jc w:val="center"/>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365-729</w:t>
            </w:r>
          </w:p>
        </w:tc>
        <w:tc>
          <w:tcPr>
            <w:tcW w:w="2515" w:type="pct"/>
          </w:tcPr>
          <w:p w:rsidR="001A7CDB" w:rsidRPr="00286323" w:rsidRDefault="001A7CDB" w:rsidP="00F71D3B">
            <w:pPr>
              <w:snapToGrid w:val="0"/>
              <w:spacing w:line="360" w:lineRule="auto"/>
              <w:jc w:val="center"/>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0.25%</w:t>
            </w:r>
          </w:p>
        </w:tc>
      </w:tr>
      <w:tr w:rsidR="00286323" w:rsidRPr="00286323" w:rsidTr="00D648D0">
        <w:tc>
          <w:tcPr>
            <w:tcW w:w="2485" w:type="pct"/>
          </w:tcPr>
          <w:p w:rsidR="001A7CDB" w:rsidRPr="00286323" w:rsidRDefault="001A7CDB" w:rsidP="00F71D3B">
            <w:pPr>
              <w:snapToGrid w:val="0"/>
              <w:spacing w:line="360" w:lineRule="auto"/>
              <w:jc w:val="center"/>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730及以上</w:t>
            </w:r>
          </w:p>
        </w:tc>
        <w:tc>
          <w:tcPr>
            <w:tcW w:w="2515" w:type="pct"/>
          </w:tcPr>
          <w:p w:rsidR="001A7CDB" w:rsidRPr="00286323" w:rsidRDefault="001A7CDB" w:rsidP="00F71D3B">
            <w:pPr>
              <w:snapToGrid w:val="0"/>
              <w:spacing w:line="360" w:lineRule="auto"/>
              <w:jc w:val="center"/>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0%</w:t>
            </w:r>
          </w:p>
        </w:tc>
      </w:tr>
    </w:tbl>
    <w:p w:rsidR="001A7CDB" w:rsidRPr="00286323" w:rsidRDefault="001A7CDB" w:rsidP="00F71D3B">
      <w:pPr>
        <w:snapToGrid w:val="0"/>
        <w:spacing w:line="360" w:lineRule="auto"/>
        <w:ind w:firstLineChars="202" w:firstLine="424"/>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在申购费按金额分档的情况下，如果投资人多次申购，申购费适用单笔申购金额所对应的费率。</w:t>
      </w:r>
    </w:p>
    <w:p w:rsidR="001A7CDB" w:rsidRPr="00286323" w:rsidRDefault="001A7CDB" w:rsidP="00F71D3B">
      <w:pPr>
        <w:snapToGrid w:val="0"/>
        <w:spacing w:line="360" w:lineRule="auto"/>
        <w:ind w:firstLineChars="202" w:firstLine="424"/>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基金管理人可以在基金合同规定的范围内调整申购费率和赎回费率，调整后的申购费率和赎回费率在更新的</w:t>
      </w:r>
      <w:r w:rsidRPr="00286323">
        <w:rPr>
          <w:rFonts w:asciiTheme="minorEastAsia" w:eastAsiaTheme="minorEastAsia" w:hAnsiTheme="minorEastAsia" w:cs="Arial" w:hint="eastAsia"/>
          <w:color w:val="000000" w:themeColor="text1"/>
        </w:rPr>
        <w:t>《</w:t>
      </w:r>
      <w:r w:rsidRPr="00286323">
        <w:rPr>
          <w:rFonts w:asciiTheme="minorEastAsia" w:eastAsiaTheme="minorEastAsia" w:hAnsiTheme="minorEastAsia" w:cs="Arial"/>
          <w:color w:val="000000" w:themeColor="text1"/>
        </w:rPr>
        <w:t>招募说明书》中列示。</w:t>
      </w:r>
      <w:r w:rsidRPr="00286323">
        <w:rPr>
          <w:rFonts w:asciiTheme="minorEastAsia" w:eastAsiaTheme="minorEastAsia" w:hAnsiTheme="minorEastAsia" w:cs="Arial" w:hint="eastAsia"/>
          <w:color w:val="000000" w:themeColor="text1"/>
        </w:rPr>
        <w:t>上述费率如发生变更，基金管理人最迟应于新的费率或收费方式实施日前依照《信息披露办法》的有关规定在</w:t>
      </w:r>
      <w:r w:rsidR="002C0A24" w:rsidRPr="00286323">
        <w:rPr>
          <w:rFonts w:asciiTheme="minorEastAsia" w:eastAsiaTheme="minorEastAsia" w:hAnsiTheme="minorEastAsia" w:cs="Arial" w:hint="eastAsia"/>
          <w:color w:val="000000" w:themeColor="text1"/>
        </w:rPr>
        <w:t>指定媒介</w:t>
      </w:r>
      <w:r w:rsidRPr="00286323">
        <w:rPr>
          <w:rFonts w:asciiTheme="minorEastAsia" w:eastAsiaTheme="minorEastAsia" w:hAnsiTheme="minorEastAsia" w:cs="Arial" w:hint="eastAsia"/>
          <w:color w:val="000000" w:themeColor="text1"/>
        </w:rPr>
        <w:t>上公告。</w:t>
      </w:r>
    </w:p>
    <w:p w:rsidR="001A7CDB" w:rsidRPr="00286323" w:rsidRDefault="00A849CB" w:rsidP="00F71D3B">
      <w:pPr>
        <w:snapToGrid w:val="0"/>
        <w:spacing w:line="360" w:lineRule="auto"/>
        <w:ind w:firstLineChars="202" w:firstLine="424"/>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1A7CDB" w:rsidRPr="00286323" w:rsidRDefault="001A7CDB" w:rsidP="00F71D3B">
      <w:pPr>
        <w:pStyle w:val="20"/>
        <w:numPr>
          <w:ilvl w:val="0"/>
          <w:numId w:val="15"/>
        </w:numPr>
        <w:snapToGrid w:val="0"/>
        <w:spacing w:beforeLines="0" w:afterLines="0" w:line="360" w:lineRule="auto"/>
        <w:ind w:firstLineChars="0"/>
        <w:rPr>
          <w:rFonts w:asciiTheme="minorEastAsia" w:eastAsiaTheme="minorEastAsia" w:hAnsiTheme="minorEastAsia" w:cs="Arial"/>
          <w:b w:val="0"/>
          <w:color w:val="000000" w:themeColor="text1"/>
        </w:rPr>
      </w:pPr>
      <w:r w:rsidRPr="00286323">
        <w:rPr>
          <w:rFonts w:asciiTheme="minorEastAsia" w:eastAsiaTheme="minorEastAsia" w:hAnsiTheme="minorEastAsia" w:cs="Arial"/>
          <w:b w:val="0"/>
          <w:color w:val="000000" w:themeColor="text1"/>
        </w:rPr>
        <w:t>申购份额、赎回金额的计算方式</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w:t>
      </w:r>
      <w:r w:rsidRPr="00286323">
        <w:rPr>
          <w:rFonts w:asciiTheme="minorEastAsia" w:eastAsiaTheme="minorEastAsia" w:hAnsiTheme="minorEastAsia" w:cs="Arial"/>
          <w:color w:val="000000" w:themeColor="text1"/>
        </w:rPr>
        <w:t>申购份额的计算</w:t>
      </w:r>
    </w:p>
    <w:p w:rsidR="001A7CDB" w:rsidRPr="00286323" w:rsidRDefault="001A7CDB" w:rsidP="00F71D3B">
      <w:pPr>
        <w:snapToGrid w:val="0"/>
        <w:spacing w:line="360" w:lineRule="auto"/>
        <w:ind w:firstLineChars="202" w:firstLine="424"/>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本基金的申购金额包括申购费用和净申购金额，其中：</w:t>
      </w:r>
    </w:p>
    <w:p w:rsidR="001A7CDB" w:rsidRPr="00286323" w:rsidRDefault="001A7CDB" w:rsidP="00F71D3B">
      <w:pPr>
        <w:snapToGrid w:val="0"/>
        <w:spacing w:line="360" w:lineRule="auto"/>
        <w:ind w:firstLineChars="202" w:firstLine="424"/>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净申购金额=申购金额/（1+申购费率）</w:t>
      </w:r>
    </w:p>
    <w:p w:rsidR="001A7CDB" w:rsidRPr="00286323" w:rsidRDefault="001A7CDB" w:rsidP="00F71D3B">
      <w:pPr>
        <w:snapToGrid w:val="0"/>
        <w:spacing w:line="360" w:lineRule="auto"/>
        <w:ind w:firstLineChars="202" w:firstLine="424"/>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申购费用=申购金额-净申购金额</w:t>
      </w:r>
    </w:p>
    <w:p w:rsidR="001A7CDB" w:rsidRPr="00286323" w:rsidRDefault="001A7CDB" w:rsidP="00F71D3B">
      <w:pPr>
        <w:snapToGrid w:val="0"/>
        <w:spacing w:line="360" w:lineRule="auto"/>
        <w:ind w:firstLineChars="202" w:firstLine="424"/>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申购份数=净申购金额/T日基金份额净值</w:t>
      </w:r>
    </w:p>
    <w:p w:rsidR="001A7CDB" w:rsidRPr="00286323" w:rsidRDefault="001A7CDB" w:rsidP="00F71D3B">
      <w:pPr>
        <w:snapToGrid w:val="0"/>
        <w:spacing w:line="360" w:lineRule="auto"/>
        <w:ind w:firstLineChars="202" w:firstLine="424"/>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对于1000万元（含）以上的申购，净申购金额=申购金额-绝对数额的申购费金额</w:t>
      </w:r>
    </w:p>
    <w:p w:rsidR="001A7CDB" w:rsidRPr="00286323" w:rsidRDefault="001A7CDB" w:rsidP="00F71D3B">
      <w:pPr>
        <w:snapToGrid w:val="0"/>
        <w:spacing w:line="360" w:lineRule="auto"/>
        <w:ind w:firstLineChars="202" w:firstLine="424"/>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举例说明：</w:t>
      </w:r>
    </w:p>
    <w:p w:rsidR="00A27045" w:rsidRPr="00286323" w:rsidRDefault="00A27045" w:rsidP="00F71D3B">
      <w:pPr>
        <w:snapToGrid w:val="0"/>
        <w:spacing w:line="360" w:lineRule="auto"/>
        <w:ind w:firstLineChars="202" w:firstLine="424"/>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例一：某投资者（非特定投资群体）申购本基金：</w:t>
      </w:r>
    </w:p>
    <w:tbl>
      <w:tblPr>
        <w:tblW w:w="8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1"/>
        <w:gridCol w:w="1134"/>
        <w:gridCol w:w="1418"/>
        <w:gridCol w:w="1660"/>
        <w:gridCol w:w="1660"/>
        <w:gridCol w:w="1422"/>
      </w:tblGrid>
      <w:tr w:rsidR="00286323" w:rsidRPr="00286323" w:rsidTr="00D648D0">
        <w:tc>
          <w:tcPr>
            <w:tcW w:w="1581" w:type="dxa"/>
          </w:tcPr>
          <w:p w:rsidR="001A7CDB" w:rsidRPr="00286323" w:rsidRDefault="001A7CDB" w:rsidP="00F71D3B">
            <w:pPr>
              <w:snapToGrid w:val="0"/>
              <w:spacing w:line="360" w:lineRule="auto"/>
              <w:jc w:val="center"/>
              <w:rPr>
                <w:rFonts w:asciiTheme="minorEastAsia" w:eastAsiaTheme="minorEastAsia" w:hAnsiTheme="minorEastAsia" w:cs="Arial"/>
                <w:b/>
                <w:color w:val="000000" w:themeColor="text1"/>
              </w:rPr>
            </w:pPr>
            <w:r w:rsidRPr="00286323">
              <w:rPr>
                <w:rFonts w:asciiTheme="minorEastAsia" w:eastAsiaTheme="minorEastAsia" w:hAnsiTheme="minorEastAsia" w:cs="Arial"/>
                <w:b/>
                <w:color w:val="000000" w:themeColor="text1"/>
              </w:rPr>
              <w:t>申购金额</w:t>
            </w:r>
          </w:p>
        </w:tc>
        <w:tc>
          <w:tcPr>
            <w:tcW w:w="1134" w:type="dxa"/>
          </w:tcPr>
          <w:p w:rsidR="001A7CDB" w:rsidRPr="00286323" w:rsidRDefault="001A7CDB" w:rsidP="00F71D3B">
            <w:pPr>
              <w:snapToGrid w:val="0"/>
              <w:spacing w:line="360" w:lineRule="auto"/>
              <w:jc w:val="center"/>
              <w:rPr>
                <w:rFonts w:asciiTheme="minorEastAsia" w:eastAsiaTheme="minorEastAsia" w:hAnsiTheme="minorEastAsia" w:cs="Arial"/>
                <w:b/>
                <w:color w:val="000000" w:themeColor="text1"/>
              </w:rPr>
            </w:pPr>
            <w:r w:rsidRPr="00286323">
              <w:rPr>
                <w:rFonts w:asciiTheme="minorEastAsia" w:eastAsiaTheme="minorEastAsia" w:hAnsiTheme="minorEastAsia" w:cs="Arial"/>
                <w:b/>
                <w:color w:val="000000" w:themeColor="text1"/>
              </w:rPr>
              <w:t>申购费率</w:t>
            </w:r>
          </w:p>
        </w:tc>
        <w:tc>
          <w:tcPr>
            <w:tcW w:w="1418" w:type="dxa"/>
          </w:tcPr>
          <w:p w:rsidR="001A7CDB" w:rsidRPr="00286323" w:rsidRDefault="001A7CDB" w:rsidP="00F71D3B">
            <w:pPr>
              <w:snapToGrid w:val="0"/>
              <w:spacing w:line="360" w:lineRule="auto"/>
              <w:jc w:val="center"/>
              <w:rPr>
                <w:rFonts w:asciiTheme="minorEastAsia" w:eastAsiaTheme="minorEastAsia" w:hAnsiTheme="minorEastAsia" w:cs="Arial"/>
                <w:b/>
                <w:color w:val="000000" w:themeColor="text1"/>
              </w:rPr>
            </w:pPr>
            <w:r w:rsidRPr="00286323">
              <w:rPr>
                <w:rFonts w:asciiTheme="minorEastAsia" w:eastAsiaTheme="minorEastAsia" w:hAnsiTheme="minorEastAsia" w:cs="Arial"/>
                <w:b/>
                <w:color w:val="000000" w:themeColor="text1"/>
              </w:rPr>
              <w:t>净申购金额</w:t>
            </w:r>
          </w:p>
        </w:tc>
        <w:tc>
          <w:tcPr>
            <w:tcW w:w="1660" w:type="dxa"/>
          </w:tcPr>
          <w:p w:rsidR="001A7CDB" w:rsidRPr="00286323" w:rsidRDefault="001A7CDB" w:rsidP="00F71D3B">
            <w:pPr>
              <w:snapToGrid w:val="0"/>
              <w:spacing w:line="360" w:lineRule="auto"/>
              <w:jc w:val="center"/>
              <w:rPr>
                <w:rFonts w:asciiTheme="minorEastAsia" w:eastAsiaTheme="minorEastAsia" w:hAnsiTheme="minorEastAsia" w:cs="Arial"/>
                <w:b/>
                <w:color w:val="000000" w:themeColor="text1"/>
              </w:rPr>
            </w:pPr>
            <w:r w:rsidRPr="00286323">
              <w:rPr>
                <w:rFonts w:asciiTheme="minorEastAsia" w:eastAsiaTheme="minorEastAsia" w:hAnsiTheme="minorEastAsia" w:cs="Arial"/>
                <w:b/>
                <w:color w:val="000000" w:themeColor="text1"/>
              </w:rPr>
              <w:t>申购费用</w:t>
            </w:r>
          </w:p>
        </w:tc>
        <w:tc>
          <w:tcPr>
            <w:tcW w:w="1660" w:type="dxa"/>
          </w:tcPr>
          <w:p w:rsidR="001A7CDB" w:rsidRPr="00286323" w:rsidRDefault="001A7CDB" w:rsidP="00F71D3B">
            <w:pPr>
              <w:snapToGrid w:val="0"/>
              <w:spacing w:line="360" w:lineRule="auto"/>
              <w:jc w:val="center"/>
              <w:rPr>
                <w:rFonts w:asciiTheme="minorEastAsia" w:eastAsiaTheme="minorEastAsia" w:hAnsiTheme="minorEastAsia" w:cs="Arial"/>
                <w:b/>
                <w:color w:val="000000" w:themeColor="text1"/>
              </w:rPr>
            </w:pPr>
            <w:r w:rsidRPr="00286323">
              <w:rPr>
                <w:rFonts w:asciiTheme="minorEastAsia" w:eastAsiaTheme="minorEastAsia" w:hAnsiTheme="minorEastAsia" w:cs="Arial"/>
                <w:b/>
                <w:color w:val="000000" w:themeColor="text1"/>
              </w:rPr>
              <w:t>基金份额净值</w:t>
            </w:r>
          </w:p>
        </w:tc>
        <w:tc>
          <w:tcPr>
            <w:tcW w:w="1422" w:type="dxa"/>
          </w:tcPr>
          <w:p w:rsidR="001A7CDB" w:rsidRPr="00286323" w:rsidRDefault="001A7CDB" w:rsidP="00F71D3B">
            <w:pPr>
              <w:snapToGrid w:val="0"/>
              <w:spacing w:line="360" w:lineRule="auto"/>
              <w:jc w:val="center"/>
              <w:rPr>
                <w:rFonts w:asciiTheme="minorEastAsia" w:eastAsiaTheme="minorEastAsia" w:hAnsiTheme="minorEastAsia" w:cs="Arial"/>
                <w:b/>
                <w:color w:val="000000" w:themeColor="text1"/>
              </w:rPr>
            </w:pPr>
            <w:r w:rsidRPr="00286323">
              <w:rPr>
                <w:rFonts w:asciiTheme="minorEastAsia" w:eastAsiaTheme="minorEastAsia" w:hAnsiTheme="minorEastAsia" w:cs="Arial"/>
                <w:b/>
                <w:color w:val="000000" w:themeColor="text1"/>
              </w:rPr>
              <w:t>申购份数</w:t>
            </w:r>
          </w:p>
        </w:tc>
      </w:tr>
      <w:tr w:rsidR="00286323" w:rsidRPr="00286323" w:rsidTr="00D648D0">
        <w:tc>
          <w:tcPr>
            <w:tcW w:w="1581" w:type="dxa"/>
          </w:tcPr>
          <w:p w:rsidR="001A7CDB" w:rsidRPr="00286323" w:rsidRDefault="001A7CDB" w:rsidP="00F71D3B">
            <w:pPr>
              <w:snapToGrid w:val="0"/>
              <w:spacing w:line="360" w:lineRule="auto"/>
              <w:jc w:val="center"/>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10,000元</w:t>
            </w:r>
          </w:p>
        </w:tc>
        <w:tc>
          <w:tcPr>
            <w:tcW w:w="1134" w:type="dxa"/>
          </w:tcPr>
          <w:p w:rsidR="001A7CDB" w:rsidRPr="00286323" w:rsidRDefault="001A7CDB" w:rsidP="00F71D3B">
            <w:pPr>
              <w:snapToGrid w:val="0"/>
              <w:spacing w:line="360" w:lineRule="auto"/>
              <w:ind w:firstLineChars="100" w:firstLine="21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1.5%</w:t>
            </w:r>
          </w:p>
        </w:tc>
        <w:tc>
          <w:tcPr>
            <w:tcW w:w="1418" w:type="dxa"/>
          </w:tcPr>
          <w:p w:rsidR="001A7CDB" w:rsidRPr="00286323" w:rsidRDefault="001A7CDB" w:rsidP="00F71D3B">
            <w:pPr>
              <w:snapToGrid w:val="0"/>
              <w:spacing w:line="360" w:lineRule="auto"/>
              <w:jc w:val="center"/>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9,852.22元</w:t>
            </w:r>
          </w:p>
        </w:tc>
        <w:tc>
          <w:tcPr>
            <w:tcW w:w="1660" w:type="dxa"/>
          </w:tcPr>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147.78元</w:t>
            </w:r>
          </w:p>
        </w:tc>
        <w:tc>
          <w:tcPr>
            <w:tcW w:w="1660" w:type="dxa"/>
          </w:tcPr>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1.00</w:t>
            </w:r>
            <w:r w:rsidR="00573E37" w:rsidRPr="00286323">
              <w:rPr>
                <w:rFonts w:asciiTheme="minorEastAsia" w:eastAsiaTheme="minorEastAsia" w:hAnsiTheme="minorEastAsia" w:cs="Arial" w:hint="eastAsia"/>
                <w:color w:val="000000" w:themeColor="text1"/>
              </w:rPr>
              <w:t>0</w:t>
            </w:r>
            <w:r w:rsidRPr="00286323">
              <w:rPr>
                <w:rFonts w:asciiTheme="minorEastAsia" w:eastAsiaTheme="minorEastAsia" w:hAnsiTheme="minorEastAsia" w:cs="Arial"/>
                <w:color w:val="000000" w:themeColor="text1"/>
              </w:rPr>
              <w:t>0元</w:t>
            </w:r>
          </w:p>
        </w:tc>
        <w:tc>
          <w:tcPr>
            <w:tcW w:w="1422" w:type="dxa"/>
          </w:tcPr>
          <w:p w:rsidR="001A7CDB" w:rsidRPr="00286323" w:rsidRDefault="001A7CDB" w:rsidP="00F71D3B">
            <w:pPr>
              <w:snapToGrid w:val="0"/>
              <w:spacing w:line="360" w:lineRule="auto"/>
              <w:jc w:val="center"/>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9,852.22份</w:t>
            </w:r>
          </w:p>
        </w:tc>
      </w:tr>
      <w:tr w:rsidR="00286323" w:rsidRPr="00286323" w:rsidTr="00D648D0">
        <w:tc>
          <w:tcPr>
            <w:tcW w:w="1581" w:type="dxa"/>
          </w:tcPr>
          <w:p w:rsidR="001A7CDB" w:rsidRPr="00286323" w:rsidRDefault="001A7CDB" w:rsidP="00F71D3B">
            <w:pPr>
              <w:snapToGrid w:val="0"/>
              <w:spacing w:line="360" w:lineRule="auto"/>
              <w:jc w:val="center"/>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lastRenderedPageBreak/>
              <w:t>10,000,000元</w:t>
            </w:r>
          </w:p>
        </w:tc>
        <w:tc>
          <w:tcPr>
            <w:tcW w:w="1134" w:type="dxa"/>
          </w:tcPr>
          <w:p w:rsidR="001A7CDB" w:rsidRPr="00286323" w:rsidRDefault="001A7CDB" w:rsidP="00F71D3B">
            <w:pPr>
              <w:snapToGrid w:val="0"/>
              <w:spacing w:line="360" w:lineRule="auto"/>
              <w:jc w:val="center"/>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w:t>
            </w:r>
            <w:r w:rsidRPr="00286323">
              <w:rPr>
                <w:rFonts w:asciiTheme="minorEastAsia" w:eastAsiaTheme="minorEastAsia" w:hAnsiTheme="minorEastAsia" w:cs="Arial" w:hint="eastAsia"/>
                <w:color w:val="000000" w:themeColor="text1"/>
              </w:rPr>
              <w:t>,</w:t>
            </w:r>
            <w:r w:rsidRPr="00286323">
              <w:rPr>
                <w:rFonts w:asciiTheme="minorEastAsia" w:eastAsiaTheme="minorEastAsia" w:hAnsiTheme="minorEastAsia" w:cs="Arial"/>
                <w:color w:val="000000" w:themeColor="text1"/>
              </w:rPr>
              <w:t>000元</w:t>
            </w:r>
          </w:p>
        </w:tc>
        <w:tc>
          <w:tcPr>
            <w:tcW w:w="1418" w:type="dxa"/>
          </w:tcPr>
          <w:p w:rsidR="001A7CDB" w:rsidRPr="00286323" w:rsidRDefault="001A7CDB" w:rsidP="00F71D3B">
            <w:pPr>
              <w:snapToGrid w:val="0"/>
              <w:spacing w:line="360" w:lineRule="auto"/>
              <w:jc w:val="center"/>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9,999,000元</w:t>
            </w:r>
          </w:p>
        </w:tc>
        <w:tc>
          <w:tcPr>
            <w:tcW w:w="1660" w:type="dxa"/>
          </w:tcPr>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w:t>
            </w:r>
            <w:r w:rsidRPr="00286323">
              <w:rPr>
                <w:rFonts w:asciiTheme="minorEastAsia" w:eastAsiaTheme="minorEastAsia" w:hAnsiTheme="minorEastAsia" w:cs="Arial" w:hint="eastAsia"/>
                <w:color w:val="000000" w:themeColor="text1"/>
              </w:rPr>
              <w:t>,</w:t>
            </w:r>
            <w:r w:rsidRPr="00286323">
              <w:rPr>
                <w:rFonts w:asciiTheme="minorEastAsia" w:eastAsiaTheme="minorEastAsia" w:hAnsiTheme="minorEastAsia" w:cs="Arial"/>
                <w:color w:val="000000" w:themeColor="text1"/>
              </w:rPr>
              <w:t>000元</w:t>
            </w:r>
          </w:p>
        </w:tc>
        <w:tc>
          <w:tcPr>
            <w:tcW w:w="1660" w:type="dxa"/>
          </w:tcPr>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1.000</w:t>
            </w:r>
            <w:r w:rsidR="00573E37" w:rsidRPr="00286323">
              <w:rPr>
                <w:rFonts w:asciiTheme="minorEastAsia" w:eastAsiaTheme="minorEastAsia" w:hAnsiTheme="minorEastAsia" w:cs="Arial" w:hint="eastAsia"/>
                <w:color w:val="000000" w:themeColor="text1"/>
              </w:rPr>
              <w:t>0</w:t>
            </w:r>
            <w:r w:rsidRPr="00286323">
              <w:rPr>
                <w:rFonts w:asciiTheme="minorEastAsia" w:eastAsiaTheme="minorEastAsia" w:hAnsiTheme="minorEastAsia" w:cs="Arial"/>
                <w:color w:val="000000" w:themeColor="text1"/>
              </w:rPr>
              <w:t>元</w:t>
            </w:r>
          </w:p>
        </w:tc>
        <w:tc>
          <w:tcPr>
            <w:tcW w:w="1422" w:type="dxa"/>
          </w:tcPr>
          <w:p w:rsidR="001A7CDB" w:rsidRPr="00286323" w:rsidRDefault="001A7CDB" w:rsidP="00F71D3B">
            <w:pPr>
              <w:snapToGrid w:val="0"/>
              <w:spacing w:line="360" w:lineRule="auto"/>
              <w:jc w:val="center"/>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9,999,000份</w:t>
            </w:r>
          </w:p>
        </w:tc>
      </w:tr>
    </w:tbl>
    <w:p w:rsidR="001A7CDB" w:rsidRPr="00286323" w:rsidRDefault="00A27045" w:rsidP="00F71D3B">
      <w:pPr>
        <w:snapToGrid w:val="0"/>
        <w:spacing w:line="360" w:lineRule="auto"/>
        <w:ind w:firstLineChars="202" w:firstLine="424"/>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例二：某投资者（特定投资群体）通过基金管理人的直销中心申购本基金：</w:t>
      </w:r>
    </w:p>
    <w:tbl>
      <w:tblPr>
        <w:tblW w:w="8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1"/>
        <w:gridCol w:w="1134"/>
        <w:gridCol w:w="1418"/>
        <w:gridCol w:w="1660"/>
        <w:gridCol w:w="1660"/>
        <w:gridCol w:w="1422"/>
      </w:tblGrid>
      <w:tr w:rsidR="00286323" w:rsidRPr="00286323" w:rsidTr="00AA1F53">
        <w:tc>
          <w:tcPr>
            <w:tcW w:w="1581" w:type="dxa"/>
          </w:tcPr>
          <w:p w:rsidR="00A27045" w:rsidRPr="00286323" w:rsidRDefault="00A27045" w:rsidP="00F71D3B">
            <w:pPr>
              <w:snapToGrid w:val="0"/>
              <w:spacing w:line="360" w:lineRule="auto"/>
              <w:jc w:val="center"/>
              <w:rPr>
                <w:rFonts w:asciiTheme="minorEastAsia" w:eastAsiaTheme="minorEastAsia" w:hAnsiTheme="minorEastAsia" w:cs="Arial"/>
                <w:b/>
                <w:color w:val="000000" w:themeColor="text1"/>
              </w:rPr>
            </w:pPr>
            <w:r w:rsidRPr="00286323">
              <w:rPr>
                <w:rFonts w:asciiTheme="minorEastAsia" w:eastAsiaTheme="minorEastAsia" w:hAnsiTheme="minorEastAsia" w:cs="Arial"/>
                <w:b/>
                <w:color w:val="000000" w:themeColor="text1"/>
              </w:rPr>
              <w:t>申购金额</w:t>
            </w:r>
          </w:p>
        </w:tc>
        <w:tc>
          <w:tcPr>
            <w:tcW w:w="1134" w:type="dxa"/>
          </w:tcPr>
          <w:p w:rsidR="00A27045" w:rsidRPr="00286323" w:rsidRDefault="00A27045" w:rsidP="00F71D3B">
            <w:pPr>
              <w:snapToGrid w:val="0"/>
              <w:spacing w:line="360" w:lineRule="auto"/>
              <w:jc w:val="center"/>
              <w:rPr>
                <w:rFonts w:asciiTheme="minorEastAsia" w:eastAsiaTheme="minorEastAsia" w:hAnsiTheme="minorEastAsia" w:cs="Arial"/>
                <w:b/>
                <w:color w:val="000000" w:themeColor="text1"/>
              </w:rPr>
            </w:pPr>
            <w:r w:rsidRPr="00286323">
              <w:rPr>
                <w:rFonts w:asciiTheme="minorEastAsia" w:eastAsiaTheme="minorEastAsia" w:hAnsiTheme="minorEastAsia" w:cs="Arial"/>
                <w:b/>
                <w:color w:val="000000" w:themeColor="text1"/>
              </w:rPr>
              <w:t>申购费率</w:t>
            </w:r>
          </w:p>
        </w:tc>
        <w:tc>
          <w:tcPr>
            <w:tcW w:w="1418" w:type="dxa"/>
          </w:tcPr>
          <w:p w:rsidR="00A27045" w:rsidRPr="00286323" w:rsidRDefault="00A27045" w:rsidP="00F71D3B">
            <w:pPr>
              <w:snapToGrid w:val="0"/>
              <w:spacing w:line="360" w:lineRule="auto"/>
              <w:jc w:val="center"/>
              <w:rPr>
                <w:rFonts w:asciiTheme="minorEastAsia" w:eastAsiaTheme="minorEastAsia" w:hAnsiTheme="minorEastAsia" w:cs="Arial"/>
                <w:b/>
                <w:color w:val="000000" w:themeColor="text1"/>
              </w:rPr>
            </w:pPr>
            <w:r w:rsidRPr="00286323">
              <w:rPr>
                <w:rFonts w:asciiTheme="minorEastAsia" w:eastAsiaTheme="minorEastAsia" w:hAnsiTheme="minorEastAsia" w:cs="Arial"/>
                <w:b/>
                <w:color w:val="000000" w:themeColor="text1"/>
              </w:rPr>
              <w:t>净申购金额</w:t>
            </w:r>
          </w:p>
        </w:tc>
        <w:tc>
          <w:tcPr>
            <w:tcW w:w="1660" w:type="dxa"/>
          </w:tcPr>
          <w:p w:rsidR="00A27045" w:rsidRPr="00286323" w:rsidRDefault="00A27045" w:rsidP="00F71D3B">
            <w:pPr>
              <w:snapToGrid w:val="0"/>
              <w:spacing w:line="360" w:lineRule="auto"/>
              <w:jc w:val="center"/>
              <w:rPr>
                <w:rFonts w:asciiTheme="minorEastAsia" w:eastAsiaTheme="minorEastAsia" w:hAnsiTheme="minorEastAsia" w:cs="Arial"/>
                <w:b/>
                <w:color w:val="000000" w:themeColor="text1"/>
              </w:rPr>
            </w:pPr>
            <w:r w:rsidRPr="00286323">
              <w:rPr>
                <w:rFonts w:asciiTheme="minorEastAsia" w:eastAsiaTheme="minorEastAsia" w:hAnsiTheme="minorEastAsia" w:cs="Arial"/>
                <w:b/>
                <w:color w:val="000000" w:themeColor="text1"/>
              </w:rPr>
              <w:t>申购费用</w:t>
            </w:r>
          </w:p>
        </w:tc>
        <w:tc>
          <w:tcPr>
            <w:tcW w:w="1660" w:type="dxa"/>
          </w:tcPr>
          <w:p w:rsidR="00A27045" w:rsidRPr="00286323" w:rsidRDefault="00A27045" w:rsidP="00F71D3B">
            <w:pPr>
              <w:snapToGrid w:val="0"/>
              <w:spacing w:line="360" w:lineRule="auto"/>
              <w:jc w:val="center"/>
              <w:rPr>
                <w:rFonts w:asciiTheme="minorEastAsia" w:eastAsiaTheme="minorEastAsia" w:hAnsiTheme="minorEastAsia" w:cs="Arial"/>
                <w:b/>
                <w:color w:val="000000" w:themeColor="text1"/>
              </w:rPr>
            </w:pPr>
            <w:r w:rsidRPr="00286323">
              <w:rPr>
                <w:rFonts w:asciiTheme="minorEastAsia" w:eastAsiaTheme="minorEastAsia" w:hAnsiTheme="minorEastAsia" w:cs="Arial"/>
                <w:b/>
                <w:color w:val="000000" w:themeColor="text1"/>
              </w:rPr>
              <w:t>基金份额净值</w:t>
            </w:r>
          </w:p>
        </w:tc>
        <w:tc>
          <w:tcPr>
            <w:tcW w:w="1422" w:type="dxa"/>
          </w:tcPr>
          <w:p w:rsidR="00A27045" w:rsidRPr="00286323" w:rsidRDefault="00A27045" w:rsidP="00F71D3B">
            <w:pPr>
              <w:snapToGrid w:val="0"/>
              <w:spacing w:line="360" w:lineRule="auto"/>
              <w:jc w:val="center"/>
              <w:rPr>
                <w:rFonts w:asciiTheme="minorEastAsia" w:eastAsiaTheme="minorEastAsia" w:hAnsiTheme="minorEastAsia" w:cs="Arial"/>
                <w:b/>
                <w:color w:val="000000" w:themeColor="text1"/>
              </w:rPr>
            </w:pPr>
            <w:r w:rsidRPr="00286323">
              <w:rPr>
                <w:rFonts w:asciiTheme="minorEastAsia" w:eastAsiaTheme="minorEastAsia" w:hAnsiTheme="minorEastAsia" w:cs="Arial"/>
                <w:b/>
                <w:color w:val="000000" w:themeColor="text1"/>
              </w:rPr>
              <w:t>申购份数</w:t>
            </w:r>
          </w:p>
        </w:tc>
      </w:tr>
      <w:tr w:rsidR="00286323" w:rsidRPr="00286323" w:rsidTr="00AA1F53">
        <w:tc>
          <w:tcPr>
            <w:tcW w:w="1581" w:type="dxa"/>
          </w:tcPr>
          <w:p w:rsidR="00A27045" w:rsidRPr="00286323" w:rsidRDefault="00A27045" w:rsidP="00F71D3B">
            <w:pPr>
              <w:snapToGrid w:val="0"/>
              <w:spacing w:line="360" w:lineRule="auto"/>
              <w:jc w:val="center"/>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5</w:t>
            </w:r>
            <w:r w:rsidRPr="00286323">
              <w:rPr>
                <w:rFonts w:asciiTheme="minorEastAsia" w:eastAsiaTheme="minorEastAsia" w:hAnsiTheme="minorEastAsia" w:cs="Arial"/>
                <w:color w:val="000000" w:themeColor="text1"/>
              </w:rPr>
              <w:t>0,000元</w:t>
            </w:r>
          </w:p>
        </w:tc>
        <w:tc>
          <w:tcPr>
            <w:tcW w:w="1134" w:type="dxa"/>
          </w:tcPr>
          <w:p w:rsidR="00A27045" w:rsidRPr="00286323" w:rsidRDefault="00A27045" w:rsidP="00F71D3B">
            <w:pPr>
              <w:snapToGrid w:val="0"/>
              <w:spacing w:line="360" w:lineRule="auto"/>
              <w:ind w:firstLineChars="100" w:firstLine="21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0</w:t>
            </w:r>
            <w:r w:rsidRPr="00286323">
              <w:rPr>
                <w:rFonts w:asciiTheme="minorEastAsia" w:eastAsiaTheme="minorEastAsia" w:hAnsiTheme="minorEastAsia" w:cs="Arial"/>
                <w:color w:val="000000" w:themeColor="text1"/>
              </w:rPr>
              <w:t>.</w:t>
            </w:r>
            <w:r w:rsidRPr="00286323">
              <w:rPr>
                <w:rFonts w:asciiTheme="minorEastAsia" w:eastAsiaTheme="minorEastAsia" w:hAnsiTheme="minorEastAsia" w:cs="Arial" w:hint="eastAsia"/>
                <w:color w:val="000000" w:themeColor="text1"/>
              </w:rPr>
              <w:t>1</w:t>
            </w:r>
            <w:r w:rsidRPr="00286323">
              <w:rPr>
                <w:rFonts w:asciiTheme="minorEastAsia" w:eastAsiaTheme="minorEastAsia" w:hAnsiTheme="minorEastAsia" w:cs="Arial"/>
                <w:color w:val="000000" w:themeColor="text1"/>
              </w:rPr>
              <w:t>5%</w:t>
            </w:r>
          </w:p>
        </w:tc>
        <w:tc>
          <w:tcPr>
            <w:tcW w:w="1418" w:type="dxa"/>
          </w:tcPr>
          <w:p w:rsidR="00A27045" w:rsidRPr="00286323" w:rsidRDefault="00A27045" w:rsidP="00F71D3B">
            <w:pPr>
              <w:snapToGrid w:val="0"/>
              <w:spacing w:line="360" w:lineRule="auto"/>
              <w:jc w:val="center"/>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49,925.11元</w:t>
            </w:r>
          </w:p>
        </w:tc>
        <w:tc>
          <w:tcPr>
            <w:tcW w:w="1660" w:type="dxa"/>
          </w:tcPr>
          <w:p w:rsidR="00A27045" w:rsidRPr="00286323" w:rsidRDefault="00A27045"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74.89元</w:t>
            </w:r>
          </w:p>
        </w:tc>
        <w:tc>
          <w:tcPr>
            <w:tcW w:w="1660" w:type="dxa"/>
          </w:tcPr>
          <w:p w:rsidR="00A27045" w:rsidRPr="00286323" w:rsidRDefault="00A27045"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1.00</w:t>
            </w:r>
            <w:r w:rsidRPr="00286323">
              <w:rPr>
                <w:rFonts w:asciiTheme="minorEastAsia" w:eastAsiaTheme="minorEastAsia" w:hAnsiTheme="minorEastAsia" w:cs="Arial" w:hint="eastAsia"/>
                <w:color w:val="000000" w:themeColor="text1"/>
              </w:rPr>
              <w:t>0</w:t>
            </w:r>
            <w:r w:rsidRPr="00286323">
              <w:rPr>
                <w:rFonts w:asciiTheme="minorEastAsia" w:eastAsiaTheme="minorEastAsia" w:hAnsiTheme="minorEastAsia" w:cs="Arial"/>
                <w:color w:val="000000" w:themeColor="text1"/>
              </w:rPr>
              <w:t>0元</w:t>
            </w:r>
          </w:p>
        </w:tc>
        <w:tc>
          <w:tcPr>
            <w:tcW w:w="1422" w:type="dxa"/>
          </w:tcPr>
          <w:p w:rsidR="00A27045" w:rsidRPr="00286323" w:rsidRDefault="00A27045" w:rsidP="00F71D3B">
            <w:pPr>
              <w:snapToGrid w:val="0"/>
              <w:spacing w:line="360" w:lineRule="auto"/>
              <w:jc w:val="center"/>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49,925.11份</w:t>
            </w:r>
          </w:p>
        </w:tc>
      </w:tr>
      <w:tr w:rsidR="00286323" w:rsidRPr="00286323" w:rsidTr="00AA1F53">
        <w:tc>
          <w:tcPr>
            <w:tcW w:w="1581" w:type="dxa"/>
          </w:tcPr>
          <w:p w:rsidR="00A27045" w:rsidRPr="00286323" w:rsidRDefault="00A27045" w:rsidP="00F71D3B">
            <w:pPr>
              <w:snapToGrid w:val="0"/>
              <w:spacing w:line="360" w:lineRule="auto"/>
              <w:jc w:val="center"/>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10,000,000元</w:t>
            </w:r>
          </w:p>
        </w:tc>
        <w:tc>
          <w:tcPr>
            <w:tcW w:w="1134" w:type="dxa"/>
          </w:tcPr>
          <w:p w:rsidR="00A27045" w:rsidRPr="00286323" w:rsidRDefault="00A27045" w:rsidP="00F71D3B">
            <w:pPr>
              <w:snapToGrid w:val="0"/>
              <w:spacing w:line="360" w:lineRule="auto"/>
              <w:jc w:val="center"/>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w:t>
            </w:r>
            <w:r w:rsidRPr="00286323">
              <w:rPr>
                <w:rFonts w:asciiTheme="minorEastAsia" w:eastAsiaTheme="minorEastAsia" w:hAnsiTheme="minorEastAsia" w:cs="Arial" w:hint="eastAsia"/>
                <w:color w:val="000000" w:themeColor="text1"/>
              </w:rPr>
              <w:t>,</w:t>
            </w:r>
            <w:r w:rsidRPr="00286323">
              <w:rPr>
                <w:rFonts w:asciiTheme="minorEastAsia" w:eastAsiaTheme="minorEastAsia" w:hAnsiTheme="minorEastAsia" w:cs="Arial"/>
                <w:color w:val="000000" w:themeColor="text1"/>
              </w:rPr>
              <w:t>000元</w:t>
            </w:r>
          </w:p>
        </w:tc>
        <w:tc>
          <w:tcPr>
            <w:tcW w:w="1418" w:type="dxa"/>
          </w:tcPr>
          <w:p w:rsidR="00A27045" w:rsidRPr="00286323" w:rsidRDefault="00A27045" w:rsidP="00F71D3B">
            <w:pPr>
              <w:snapToGrid w:val="0"/>
              <w:spacing w:line="360" w:lineRule="auto"/>
              <w:jc w:val="center"/>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9,999,000元</w:t>
            </w:r>
          </w:p>
        </w:tc>
        <w:tc>
          <w:tcPr>
            <w:tcW w:w="1660" w:type="dxa"/>
          </w:tcPr>
          <w:p w:rsidR="00A27045" w:rsidRPr="00286323" w:rsidRDefault="00A27045"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w:t>
            </w:r>
            <w:r w:rsidRPr="00286323">
              <w:rPr>
                <w:rFonts w:asciiTheme="minorEastAsia" w:eastAsiaTheme="minorEastAsia" w:hAnsiTheme="minorEastAsia" w:cs="Arial" w:hint="eastAsia"/>
                <w:color w:val="000000" w:themeColor="text1"/>
              </w:rPr>
              <w:t>,</w:t>
            </w:r>
            <w:r w:rsidRPr="00286323">
              <w:rPr>
                <w:rFonts w:asciiTheme="minorEastAsia" w:eastAsiaTheme="minorEastAsia" w:hAnsiTheme="minorEastAsia" w:cs="Arial"/>
                <w:color w:val="000000" w:themeColor="text1"/>
              </w:rPr>
              <w:t>000元</w:t>
            </w:r>
          </w:p>
        </w:tc>
        <w:tc>
          <w:tcPr>
            <w:tcW w:w="1660" w:type="dxa"/>
          </w:tcPr>
          <w:p w:rsidR="00A27045" w:rsidRPr="00286323" w:rsidRDefault="00A27045"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1.000</w:t>
            </w:r>
            <w:r w:rsidRPr="00286323">
              <w:rPr>
                <w:rFonts w:asciiTheme="minorEastAsia" w:eastAsiaTheme="minorEastAsia" w:hAnsiTheme="minorEastAsia" w:cs="Arial" w:hint="eastAsia"/>
                <w:color w:val="000000" w:themeColor="text1"/>
              </w:rPr>
              <w:t>0</w:t>
            </w:r>
            <w:r w:rsidRPr="00286323">
              <w:rPr>
                <w:rFonts w:asciiTheme="minorEastAsia" w:eastAsiaTheme="minorEastAsia" w:hAnsiTheme="minorEastAsia" w:cs="Arial"/>
                <w:color w:val="000000" w:themeColor="text1"/>
              </w:rPr>
              <w:t>元</w:t>
            </w:r>
          </w:p>
        </w:tc>
        <w:tc>
          <w:tcPr>
            <w:tcW w:w="1422" w:type="dxa"/>
          </w:tcPr>
          <w:p w:rsidR="00A27045" w:rsidRPr="00286323" w:rsidRDefault="00A27045" w:rsidP="00F71D3B">
            <w:pPr>
              <w:snapToGrid w:val="0"/>
              <w:spacing w:line="360" w:lineRule="auto"/>
              <w:jc w:val="center"/>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9,999,000份</w:t>
            </w:r>
          </w:p>
        </w:tc>
      </w:tr>
    </w:tbl>
    <w:p w:rsidR="001A7CDB" w:rsidRPr="00286323" w:rsidRDefault="001A7CDB" w:rsidP="00F71D3B">
      <w:pPr>
        <w:snapToGrid w:val="0"/>
        <w:spacing w:line="360" w:lineRule="auto"/>
        <w:ind w:firstLineChars="202" w:firstLine="424"/>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申购费用以人民币元为单位，四舍五入，保留至小数点后二位；申购份数采取四舍五入的方法保留小数点后二位，由此误差产生的损失由基金财产承担，产生的收益归基金财产所有。</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2、</w:t>
      </w:r>
      <w:r w:rsidRPr="00286323">
        <w:rPr>
          <w:rFonts w:asciiTheme="minorEastAsia" w:eastAsiaTheme="minorEastAsia" w:hAnsiTheme="minorEastAsia" w:cs="Arial"/>
          <w:color w:val="000000" w:themeColor="text1"/>
        </w:rPr>
        <w:t>基金赎回金额的计算</w:t>
      </w:r>
    </w:p>
    <w:p w:rsidR="001A7CDB" w:rsidRPr="00286323" w:rsidRDefault="001A7CDB" w:rsidP="00F71D3B">
      <w:pPr>
        <w:snapToGrid w:val="0"/>
        <w:spacing w:line="360" w:lineRule="auto"/>
        <w:ind w:firstLineChars="202" w:firstLine="424"/>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本基金的净赎回金额为赎回总</w:t>
      </w:r>
      <w:r w:rsidR="00F41D88" w:rsidRPr="00286323">
        <w:rPr>
          <w:rFonts w:asciiTheme="minorEastAsia" w:eastAsiaTheme="minorEastAsia" w:hAnsiTheme="minorEastAsia" w:cs="Arial"/>
          <w:color w:val="000000" w:themeColor="text1"/>
        </w:rPr>
        <w:t>金</w:t>
      </w:r>
      <w:r w:rsidRPr="00286323">
        <w:rPr>
          <w:rFonts w:asciiTheme="minorEastAsia" w:eastAsiaTheme="minorEastAsia" w:hAnsiTheme="minorEastAsia" w:cs="Arial"/>
          <w:color w:val="000000" w:themeColor="text1"/>
        </w:rPr>
        <w:t>额扣减赎回费用，其中：</w:t>
      </w:r>
    </w:p>
    <w:p w:rsidR="001A7CDB" w:rsidRPr="00286323" w:rsidRDefault="001A7CDB" w:rsidP="00F71D3B">
      <w:pPr>
        <w:snapToGrid w:val="0"/>
        <w:spacing w:line="360" w:lineRule="auto"/>
        <w:ind w:firstLineChars="202" w:firstLine="424"/>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赎回总金额=赎回份额×T日基金份额净值</w:t>
      </w:r>
    </w:p>
    <w:p w:rsidR="001A7CDB" w:rsidRPr="00286323" w:rsidRDefault="001A7CDB" w:rsidP="00F71D3B">
      <w:pPr>
        <w:snapToGrid w:val="0"/>
        <w:spacing w:line="360" w:lineRule="auto"/>
        <w:ind w:firstLineChars="202" w:firstLine="424"/>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赎回费用=赎回份额×T日基金份额净值×赎回费率</w:t>
      </w:r>
    </w:p>
    <w:p w:rsidR="001A7CDB" w:rsidRPr="00286323" w:rsidRDefault="001A7CDB" w:rsidP="00F71D3B">
      <w:pPr>
        <w:snapToGrid w:val="0"/>
        <w:spacing w:line="360" w:lineRule="auto"/>
        <w:ind w:firstLineChars="202" w:firstLine="424"/>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净赎回金额=赎回总金额-赎回费用</w:t>
      </w:r>
    </w:p>
    <w:p w:rsidR="001A7CDB" w:rsidRPr="00286323" w:rsidRDefault="001A7CDB" w:rsidP="00F71D3B">
      <w:pPr>
        <w:snapToGrid w:val="0"/>
        <w:spacing w:line="360" w:lineRule="auto"/>
        <w:ind w:firstLineChars="202" w:firstLine="424"/>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举例说明：</w:t>
      </w:r>
    </w:p>
    <w:tbl>
      <w:tblPr>
        <w:tblW w:w="8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60" w:firstRow="1" w:lastRow="1" w:firstColumn="0" w:lastColumn="1" w:noHBand="0" w:noVBand="0"/>
      </w:tblPr>
      <w:tblGrid>
        <w:gridCol w:w="1243"/>
        <w:gridCol w:w="1650"/>
        <w:gridCol w:w="1436"/>
        <w:gridCol w:w="1437"/>
        <w:gridCol w:w="1409"/>
        <w:gridCol w:w="1457"/>
      </w:tblGrid>
      <w:tr w:rsidR="00286323" w:rsidRPr="00286323" w:rsidTr="00D648D0">
        <w:tc>
          <w:tcPr>
            <w:tcW w:w="1243" w:type="dxa"/>
          </w:tcPr>
          <w:p w:rsidR="001A7CDB" w:rsidRPr="00286323" w:rsidRDefault="001A7CDB" w:rsidP="00F71D3B">
            <w:pPr>
              <w:snapToGrid w:val="0"/>
              <w:spacing w:line="360" w:lineRule="auto"/>
              <w:rPr>
                <w:rFonts w:asciiTheme="minorEastAsia" w:eastAsiaTheme="minorEastAsia" w:hAnsiTheme="minorEastAsia" w:cs="Arial"/>
                <w:b/>
                <w:color w:val="000000" w:themeColor="text1"/>
              </w:rPr>
            </w:pPr>
            <w:r w:rsidRPr="00286323">
              <w:rPr>
                <w:rFonts w:asciiTheme="minorEastAsia" w:eastAsiaTheme="minorEastAsia" w:hAnsiTheme="minorEastAsia" w:cs="Arial"/>
                <w:b/>
                <w:color w:val="000000" w:themeColor="text1"/>
              </w:rPr>
              <w:t>赎回份额</w:t>
            </w:r>
          </w:p>
        </w:tc>
        <w:tc>
          <w:tcPr>
            <w:tcW w:w="1650" w:type="dxa"/>
          </w:tcPr>
          <w:p w:rsidR="001A7CDB" w:rsidRPr="00286323" w:rsidRDefault="001A7CDB" w:rsidP="00F71D3B">
            <w:pPr>
              <w:snapToGrid w:val="0"/>
              <w:spacing w:line="360" w:lineRule="auto"/>
              <w:rPr>
                <w:rFonts w:asciiTheme="minorEastAsia" w:eastAsiaTheme="minorEastAsia" w:hAnsiTheme="minorEastAsia" w:cs="Arial"/>
                <w:b/>
                <w:color w:val="000000" w:themeColor="text1"/>
              </w:rPr>
            </w:pPr>
            <w:r w:rsidRPr="00286323">
              <w:rPr>
                <w:rFonts w:asciiTheme="minorEastAsia" w:eastAsiaTheme="minorEastAsia" w:hAnsiTheme="minorEastAsia" w:cs="Arial"/>
                <w:b/>
                <w:color w:val="000000" w:themeColor="text1"/>
              </w:rPr>
              <w:t>基金份额净值</w:t>
            </w:r>
          </w:p>
        </w:tc>
        <w:tc>
          <w:tcPr>
            <w:tcW w:w="1436" w:type="dxa"/>
          </w:tcPr>
          <w:p w:rsidR="001A7CDB" w:rsidRPr="00286323" w:rsidRDefault="001A7CDB" w:rsidP="00F71D3B">
            <w:pPr>
              <w:snapToGrid w:val="0"/>
              <w:spacing w:line="360" w:lineRule="auto"/>
              <w:rPr>
                <w:rFonts w:asciiTheme="minorEastAsia" w:eastAsiaTheme="minorEastAsia" w:hAnsiTheme="minorEastAsia" w:cs="Arial"/>
                <w:b/>
                <w:color w:val="000000" w:themeColor="text1"/>
              </w:rPr>
            </w:pPr>
            <w:r w:rsidRPr="00286323">
              <w:rPr>
                <w:rFonts w:asciiTheme="minorEastAsia" w:eastAsiaTheme="minorEastAsia" w:hAnsiTheme="minorEastAsia" w:cs="Arial"/>
                <w:b/>
                <w:color w:val="000000" w:themeColor="text1"/>
              </w:rPr>
              <w:t>持有时间</w:t>
            </w:r>
          </w:p>
        </w:tc>
        <w:tc>
          <w:tcPr>
            <w:tcW w:w="1437" w:type="dxa"/>
          </w:tcPr>
          <w:p w:rsidR="001A7CDB" w:rsidRPr="00286323" w:rsidRDefault="001A7CDB" w:rsidP="00F71D3B">
            <w:pPr>
              <w:snapToGrid w:val="0"/>
              <w:spacing w:line="360" w:lineRule="auto"/>
              <w:rPr>
                <w:rFonts w:asciiTheme="minorEastAsia" w:eastAsiaTheme="minorEastAsia" w:hAnsiTheme="minorEastAsia" w:cs="Arial"/>
                <w:b/>
                <w:color w:val="000000" w:themeColor="text1"/>
              </w:rPr>
            </w:pPr>
            <w:r w:rsidRPr="00286323">
              <w:rPr>
                <w:rFonts w:asciiTheme="minorEastAsia" w:eastAsiaTheme="minorEastAsia" w:hAnsiTheme="minorEastAsia" w:cs="Arial"/>
                <w:b/>
                <w:color w:val="000000" w:themeColor="text1"/>
              </w:rPr>
              <w:t>赎回费率</w:t>
            </w:r>
          </w:p>
        </w:tc>
        <w:tc>
          <w:tcPr>
            <w:tcW w:w="1409" w:type="dxa"/>
          </w:tcPr>
          <w:p w:rsidR="001A7CDB" w:rsidRPr="00286323" w:rsidRDefault="001A7CDB" w:rsidP="00F71D3B">
            <w:pPr>
              <w:snapToGrid w:val="0"/>
              <w:spacing w:line="360" w:lineRule="auto"/>
              <w:rPr>
                <w:rFonts w:asciiTheme="minorEastAsia" w:eastAsiaTheme="minorEastAsia" w:hAnsiTheme="minorEastAsia" w:cs="Arial"/>
                <w:b/>
                <w:color w:val="000000" w:themeColor="text1"/>
              </w:rPr>
            </w:pPr>
            <w:r w:rsidRPr="00286323">
              <w:rPr>
                <w:rFonts w:asciiTheme="minorEastAsia" w:eastAsiaTheme="minorEastAsia" w:hAnsiTheme="minorEastAsia" w:cs="Arial"/>
                <w:b/>
                <w:color w:val="000000" w:themeColor="text1"/>
              </w:rPr>
              <w:t>赎回费用</w:t>
            </w:r>
          </w:p>
        </w:tc>
        <w:tc>
          <w:tcPr>
            <w:tcW w:w="1457" w:type="dxa"/>
          </w:tcPr>
          <w:p w:rsidR="001A7CDB" w:rsidRPr="00286323" w:rsidRDefault="001A7CDB" w:rsidP="00F71D3B">
            <w:pPr>
              <w:snapToGrid w:val="0"/>
              <w:spacing w:line="360" w:lineRule="auto"/>
              <w:rPr>
                <w:rFonts w:asciiTheme="minorEastAsia" w:eastAsiaTheme="minorEastAsia" w:hAnsiTheme="minorEastAsia" w:cs="Arial"/>
                <w:b/>
                <w:color w:val="000000" w:themeColor="text1"/>
              </w:rPr>
            </w:pPr>
            <w:r w:rsidRPr="00286323">
              <w:rPr>
                <w:rFonts w:asciiTheme="minorEastAsia" w:eastAsiaTheme="minorEastAsia" w:hAnsiTheme="minorEastAsia" w:cs="Arial"/>
                <w:b/>
                <w:color w:val="000000" w:themeColor="text1"/>
              </w:rPr>
              <w:t>净赎回金额</w:t>
            </w:r>
          </w:p>
        </w:tc>
      </w:tr>
      <w:tr w:rsidR="00286323" w:rsidRPr="00286323" w:rsidTr="00D648D0">
        <w:tc>
          <w:tcPr>
            <w:tcW w:w="1243" w:type="dxa"/>
          </w:tcPr>
          <w:p w:rsidR="001A7CDB" w:rsidRPr="00286323" w:rsidRDefault="001A7CDB" w:rsidP="00F71D3B">
            <w:pPr>
              <w:snapToGrid w:val="0"/>
              <w:spacing w:line="360" w:lineRule="auto"/>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10,000</w:t>
            </w:r>
          </w:p>
        </w:tc>
        <w:tc>
          <w:tcPr>
            <w:tcW w:w="1650" w:type="dxa"/>
          </w:tcPr>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1.000</w:t>
            </w:r>
            <w:r w:rsidR="00167C38" w:rsidRPr="00286323">
              <w:rPr>
                <w:rFonts w:asciiTheme="minorEastAsia" w:eastAsiaTheme="minorEastAsia" w:hAnsiTheme="minorEastAsia" w:cs="Arial" w:hint="eastAsia"/>
                <w:color w:val="000000" w:themeColor="text1"/>
              </w:rPr>
              <w:t>0</w:t>
            </w:r>
            <w:r w:rsidRPr="00286323">
              <w:rPr>
                <w:rFonts w:asciiTheme="minorEastAsia" w:eastAsiaTheme="minorEastAsia" w:hAnsiTheme="minorEastAsia" w:cs="Arial"/>
                <w:color w:val="000000" w:themeColor="text1"/>
              </w:rPr>
              <w:t>元</w:t>
            </w:r>
          </w:p>
        </w:tc>
        <w:tc>
          <w:tcPr>
            <w:tcW w:w="1436" w:type="dxa"/>
          </w:tcPr>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100天</w:t>
            </w:r>
          </w:p>
        </w:tc>
        <w:tc>
          <w:tcPr>
            <w:tcW w:w="1437" w:type="dxa"/>
          </w:tcPr>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0.5%</w:t>
            </w:r>
          </w:p>
        </w:tc>
        <w:tc>
          <w:tcPr>
            <w:tcW w:w="1409" w:type="dxa"/>
          </w:tcPr>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50元</w:t>
            </w:r>
          </w:p>
        </w:tc>
        <w:tc>
          <w:tcPr>
            <w:tcW w:w="1457" w:type="dxa"/>
          </w:tcPr>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9,950元</w:t>
            </w:r>
          </w:p>
        </w:tc>
      </w:tr>
      <w:tr w:rsidR="00286323" w:rsidRPr="00286323" w:rsidTr="00D648D0">
        <w:tc>
          <w:tcPr>
            <w:tcW w:w="1243" w:type="dxa"/>
          </w:tcPr>
          <w:p w:rsidR="001A7CDB" w:rsidRPr="00286323" w:rsidRDefault="001A7CDB" w:rsidP="00F71D3B">
            <w:pPr>
              <w:snapToGrid w:val="0"/>
              <w:spacing w:line="360" w:lineRule="auto"/>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10,000</w:t>
            </w:r>
          </w:p>
        </w:tc>
        <w:tc>
          <w:tcPr>
            <w:tcW w:w="1650" w:type="dxa"/>
          </w:tcPr>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1.000</w:t>
            </w:r>
            <w:r w:rsidR="00167C38" w:rsidRPr="00286323">
              <w:rPr>
                <w:rFonts w:asciiTheme="minorEastAsia" w:eastAsiaTheme="minorEastAsia" w:hAnsiTheme="minorEastAsia" w:cs="Arial" w:hint="eastAsia"/>
                <w:color w:val="000000" w:themeColor="text1"/>
              </w:rPr>
              <w:t>0</w:t>
            </w:r>
            <w:r w:rsidRPr="00286323">
              <w:rPr>
                <w:rFonts w:asciiTheme="minorEastAsia" w:eastAsiaTheme="minorEastAsia" w:hAnsiTheme="minorEastAsia" w:cs="Arial"/>
                <w:color w:val="000000" w:themeColor="text1"/>
              </w:rPr>
              <w:t>元</w:t>
            </w:r>
          </w:p>
        </w:tc>
        <w:tc>
          <w:tcPr>
            <w:tcW w:w="1436" w:type="dxa"/>
          </w:tcPr>
          <w:p w:rsidR="001A7CDB" w:rsidRPr="00286323" w:rsidRDefault="001A7CDB" w:rsidP="00F71D3B">
            <w:pPr>
              <w:snapToGrid w:val="0"/>
              <w:spacing w:line="360" w:lineRule="auto"/>
              <w:ind w:firstLine="48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500天</w:t>
            </w:r>
          </w:p>
        </w:tc>
        <w:tc>
          <w:tcPr>
            <w:tcW w:w="1437" w:type="dxa"/>
          </w:tcPr>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0.25%</w:t>
            </w:r>
          </w:p>
        </w:tc>
        <w:tc>
          <w:tcPr>
            <w:tcW w:w="1409" w:type="dxa"/>
          </w:tcPr>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25元</w:t>
            </w:r>
          </w:p>
        </w:tc>
        <w:tc>
          <w:tcPr>
            <w:tcW w:w="1457" w:type="dxa"/>
          </w:tcPr>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9,975元</w:t>
            </w:r>
          </w:p>
        </w:tc>
      </w:tr>
      <w:tr w:rsidR="00286323" w:rsidRPr="00286323" w:rsidTr="00D648D0">
        <w:tc>
          <w:tcPr>
            <w:tcW w:w="1243" w:type="dxa"/>
          </w:tcPr>
          <w:p w:rsidR="001A7CDB" w:rsidRPr="00286323" w:rsidRDefault="001A7CDB" w:rsidP="00F71D3B">
            <w:pPr>
              <w:snapToGrid w:val="0"/>
              <w:spacing w:line="360" w:lineRule="auto"/>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10,000</w:t>
            </w:r>
          </w:p>
        </w:tc>
        <w:tc>
          <w:tcPr>
            <w:tcW w:w="1650" w:type="dxa"/>
          </w:tcPr>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1.000</w:t>
            </w:r>
            <w:r w:rsidR="00167C38" w:rsidRPr="00286323">
              <w:rPr>
                <w:rFonts w:asciiTheme="minorEastAsia" w:eastAsiaTheme="minorEastAsia" w:hAnsiTheme="minorEastAsia" w:cs="Arial" w:hint="eastAsia"/>
                <w:color w:val="000000" w:themeColor="text1"/>
              </w:rPr>
              <w:t>0</w:t>
            </w:r>
            <w:r w:rsidRPr="00286323">
              <w:rPr>
                <w:rFonts w:asciiTheme="minorEastAsia" w:eastAsiaTheme="minorEastAsia" w:hAnsiTheme="minorEastAsia" w:cs="Arial"/>
                <w:color w:val="000000" w:themeColor="text1"/>
              </w:rPr>
              <w:t>元</w:t>
            </w:r>
          </w:p>
        </w:tc>
        <w:tc>
          <w:tcPr>
            <w:tcW w:w="1436" w:type="dxa"/>
          </w:tcPr>
          <w:p w:rsidR="001A7CDB" w:rsidRPr="00286323" w:rsidRDefault="001A7CDB" w:rsidP="00F71D3B">
            <w:pPr>
              <w:snapToGrid w:val="0"/>
              <w:spacing w:line="360" w:lineRule="auto"/>
              <w:ind w:firstLine="48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800天</w:t>
            </w:r>
          </w:p>
        </w:tc>
        <w:tc>
          <w:tcPr>
            <w:tcW w:w="1437" w:type="dxa"/>
          </w:tcPr>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0%</w:t>
            </w:r>
          </w:p>
        </w:tc>
        <w:tc>
          <w:tcPr>
            <w:tcW w:w="1409" w:type="dxa"/>
          </w:tcPr>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0</w:t>
            </w:r>
          </w:p>
        </w:tc>
        <w:tc>
          <w:tcPr>
            <w:tcW w:w="1457" w:type="dxa"/>
          </w:tcPr>
          <w:p w:rsidR="001A7CDB" w:rsidRPr="00286323" w:rsidRDefault="001A7CDB" w:rsidP="00F71D3B">
            <w:pPr>
              <w:snapToGrid w:val="0"/>
              <w:spacing w:line="360" w:lineRule="auto"/>
              <w:ind w:firstLineChars="100" w:firstLine="21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10,000元</w:t>
            </w:r>
          </w:p>
        </w:tc>
      </w:tr>
    </w:tbl>
    <w:p w:rsidR="001A7CDB" w:rsidRPr="00286323" w:rsidRDefault="001A7CDB" w:rsidP="00F71D3B">
      <w:pPr>
        <w:snapToGrid w:val="0"/>
        <w:spacing w:line="360" w:lineRule="auto"/>
        <w:ind w:firstLineChars="202" w:firstLine="424"/>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赎回总金额、赎回费用以人民币元为单位，四舍五入，保留小数点后两位，由此误差产生的损失由基金财产承担，产生的收益归基金财产所有。</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3、</w:t>
      </w:r>
      <w:r w:rsidRPr="00286323">
        <w:rPr>
          <w:rFonts w:asciiTheme="minorEastAsia" w:eastAsiaTheme="minorEastAsia" w:hAnsiTheme="minorEastAsia" w:cs="Arial"/>
          <w:color w:val="000000" w:themeColor="text1"/>
        </w:rPr>
        <w:t>T日的基金份额净值在当天收市后计算，并在T+1日内公告。遇特殊情况，</w:t>
      </w:r>
      <w:r w:rsidR="007D1CCD" w:rsidRPr="00286323">
        <w:rPr>
          <w:rFonts w:asciiTheme="minorEastAsia" w:eastAsiaTheme="minorEastAsia" w:hAnsiTheme="minorEastAsia" w:cs="Arial" w:hint="eastAsia"/>
          <w:color w:val="000000" w:themeColor="text1"/>
        </w:rPr>
        <w:t>经履行适当程序，</w:t>
      </w:r>
      <w:r w:rsidRPr="00286323">
        <w:rPr>
          <w:rFonts w:asciiTheme="minorEastAsia" w:eastAsiaTheme="minorEastAsia" w:hAnsiTheme="minorEastAsia" w:cs="Arial"/>
          <w:color w:val="000000" w:themeColor="text1"/>
        </w:rPr>
        <w:t>可以适当延迟计算或公告。其计算公式为：</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基金份额净值=计算日基金资产净值÷计算日基金总份额</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sz w:val="18"/>
        </w:rPr>
      </w:pPr>
      <w:r w:rsidRPr="00286323">
        <w:rPr>
          <w:rFonts w:asciiTheme="minorEastAsia" w:eastAsiaTheme="minorEastAsia" w:hAnsiTheme="minorEastAsia"/>
          <w:bCs/>
          <w:color w:val="000000" w:themeColor="text1"/>
        </w:rPr>
        <w:t>本基金份额净值的计算，保留到小数点后</w:t>
      </w:r>
      <w:r w:rsidR="00ED0546" w:rsidRPr="00286323">
        <w:rPr>
          <w:rFonts w:asciiTheme="minorEastAsia" w:eastAsiaTheme="minorEastAsia" w:hAnsiTheme="minorEastAsia" w:hint="eastAsia"/>
          <w:bCs/>
          <w:color w:val="000000" w:themeColor="text1"/>
        </w:rPr>
        <w:t>4</w:t>
      </w:r>
      <w:r w:rsidRPr="00286323">
        <w:rPr>
          <w:rFonts w:asciiTheme="minorEastAsia" w:eastAsiaTheme="minorEastAsia" w:hAnsiTheme="minorEastAsia"/>
          <w:bCs/>
          <w:color w:val="000000" w:themeColor="text1"/>
        </w:rPr>
        <w:t>位，小数点后第</w:t>
      </w:r>
      <w:r w:rsidR="00ED0546" w:rsidRPr="00286323">
        <w:rPr>
          <w:rFonts w:asciiTheme="minorEastAsia" w:eastAsiaTheme="minorEastAsia" w:hAnsiTheme="minorEastAsia" w:hint="eastAsia"/>
          <w:bCs/>
          <w:color w:val="000000" w:themeColor="text1"/>
        </w:rPr>
        <w:t>5</w:t>
      </w:r>
      <w:r w:rsidRPr="00286323">
        <w:rPr>
          <w:rFonts w:asciiTheme="minorEastAsia" w:eastAsiaTheme="minorEastAsia" w:hAnsiTheme="minorEastAsia"/>
          <w:bCs/>
          <w:color w:val="000000" w:themeColor="text1"/>
        </w:rPr>
        <w:t>位四舍五入，由此产生的收益或损失由基金财产承担。</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4、</w:t>
      </w:r>
      <w:r w:rsidRPr="00286323">
        <w:rPr>
          <w:rFonts w:asciiTheme="minorEastAsia" w:eastAsiaTheme="minorEastAsia" w:hAnsiTheme="minorEastAsia" w:cs="Arial"/>
          <w:color w:val="000000" w:themeColor="text1"/>
        </w:rPr>
        <w:t>本基金的申购费由</w:t>
      </w:r>
      <w:r w:rsidRPr="00286323">
        <w:rPr>
          <w:rFonts w:asciiTheme="minorEastAsia" w:eastAsiaTheme="minorEastAsia" w:hAnsiTheme="minorEastAsia" w:cs="Arial" w:hint="eastAsia"/>
          <w:color w:val="000000" w:themeColor="text1"/>
        </w:rPr>
        <w:t>投资人</w:t>
      </w:r>
      <w:r w:rsidRPr="00286323">
        <w:rPr>
          <w:rFonts w:asciiTheme="minorEastAsia" w:eastAsiaTheme="minorEastAsia" w:hAnsiTheme="minorEastAsia" w:cs="Arial"/>
          <w:color w:val="000000" w:themeColor="text1"/>
        </w:rPr>
        <w:t>承担，主要用于本基金的市场推广、销售、注册登记等各项费用，不计入基金财产；本基金的赎回费由</w:t>
      </w:r>
      <w:r w:rsidRPr="00286323">
        <w:rPr>
          <w:rFonts w:asciiTheme="minorEastAsia" w:eastAsiaTheme="minorEastAsia" w:hAnsiTheme="minorEastAsia" w:cs="Arial" w:hint="eastAsia"/>
          <w:color w:val="000000" w:themeColor="text1"/>
        </w:rPr>
        <w:t>基金份额持有人</w:t>
      </w:r>
      <w:r w:rsidRPr="00286323">
        <w:rPr>
          <w:rFonts w:asciiTheme="minorEastAsia" w:eastAsiaTheme="minorEastAsia" w:hAnsiTheme="minorEastAsia" w:cs="Arial"/>
          <w:color w:val="000000" w:themeColor="text1"/>
        </w:rPr>
        <w:t>承担，在基金份额持有人赎回基金份额时收取，</w:t>
      </w:r>
      <w:r w:rsidR="00024C22" w:rsidRPr="00286323">
        <w:rPr>
          <w:rFonts w:asciiTheme="minorEastAsia" w:eastAsiaTheme="minorEastAsia" w:hAnsiTheme="minorEastAsia" w:cs="Arial" w:hint="eastAsia"/>
          <w:color w:val="000000" w:themeColor="text1"/>
        </w:rPr>
        <w:t>其中对持续持有期大于7天（含）的投资者收取的</w:t>
      </w:r>
      <w:r w:rsidRPr="00286323">
        <w:rPr>
          <w:rFonts w:asciiTheme="minorEastAsia" w:eastAsiaTheme="minorEastAsia" w:hAnsiTheme="minorEastAsia" w:cs="Arial"/>
          <w:color w:val="000000" w:themeColor="text1"/>
        </w:rPr>
        <w:t>赎回费总额的25%归基金财产，其余用于支付注册登记费</w:t>
      </w:r>
      <w:r w:rsidRPr="00286323">
        <w:rPr>
          <w:rFonts w:asciiTheme="minorEastAsia" w:eastAsiaTheme="minorEastAsia" w:hAnsiTheme="minorEastAsia" w:cs="Arial" w:hint="eastAsia"/>
          <w:color w:val="000000" w:themeColor="text1"/>
        </w:rPr>
        <w:t>等</w:t>
      </w:r>
      <w:r w:rsidRPr="00286323">
        <w:rPr>
          <w:rFonts w:asciiTheme="minorEastAsia" w:eastAsiaTheme="minorEastAsia" w:hAnsiTheme="minorEastAsia" w:cs="Arial"/>
          <w:color w:val="000000" w:themeColor="text1"/>
        </w:rPr>
        <w:t>其他</w:t>
      </w:r>
      <w:r w:rsidRPr="00286323">
        <w:rPr>
          <w:rFonts w:asciiTheme="minorEastAsia" w:eastAsiaTheme="minorEastAsia" w:hAnsiTheme="minorEastAsia" w:cs="Arial" w:hint="eastAsia"/>
          <w:color w:val="000000" w:themeColor="text1"/>
        </w:rPr>
        <w:t>相关</w:t>
      </w:r>
      <w:r w:rsidRPr="00286323">
        <w:rPr>
          <w:rFonts w:asciiTheme="minorEastAsia" w:eastAsiaTheme="minorEastAsia" w:hAnsiTheme="minorEastAsia" w:cs="Arial"/>
          <w:color w:val="000000" w:themeColor="text1"/>
        </w:rPr>
        <w:t>手续费。</w:t>
      </w:r>
      <w:r w:rsidR="00024C22" w:rsidRPr="00286323">
        <w:rPr>
          <w:rFonts w:asciiTheme="minorEastAsia" w:eastAsiaTheme="minorEastAsia" w:hAnsiTheme="minorEastAsia" w:cs="Arial" w:hint="eastAsia"/>
          <w:color w:val="000000" w:themeColor="text1"/>
        </w:rPr>
        <w:t>对持续持有期少于7日的投资者收取的赎回费调整为1.5%，并将上述对持续持有期少于7天（不含）的投资者收取的赎回费全额计入基金财产。</w:t>
      </w:r>
    </w:p>
    <w:p w:rsidR="001A7CDB" w:rsidRPr="00286323" w:rsidRDefault="001A7CDB" w:rsidP="00F71D3B">
      <w:pPr>
        <w:pStyle w:val="20"/>
        <w:numPr>
          <w:ilvl w:val="0"/>
          <w:numId w:val="15"/>
        </w:numPr>
        <w:snapToGrid w:val="0"/>
        <w:spacing w:beforeLines="0" w:afterLines="0" w:line="360" w:lineRule="auto"/>
        <w:ind w:firstLineChars="0"/>
        <w:rPr>
          <w:rFonts w:asciiTheme="minorEastAsia" w:eastAsiaTheme="minorEastAsia" w:hAnsiTheme="minorEastAsia" w:cs="Arial"/>
          <w:b w:val="0"/>
          <w:color w:val="000000" w:themeColor="text1"/>
          <w:szCs w:val="21"/>
        </w:rPr>
      </w:pPr>
      <w:r w:rsidRPr="00286323">
        <w:rPr>
          <w:rFonts w:asciiTheme="minorEastAsia" w:eastAsiaTheme="minorEastAsia" w:hAnsiTheme="minorEastAsia" w:cs="Arial"/>
          <w:b w:val="0"/>
          <w:color w:val="000000" w:themeColor="text1"/>
        </w:rPr>
        <w:lastRenderedPageBreak/>
        <w:t>申购、赎回的注册登记</w:t>
      </w:r>
    </w:p>
    <w:p w:rsidR="001A7CDB" w:rsidRPr="00286323" w:rsidRDefault="001A7CDB"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正常情况下，</w:t>
      </w:r>
      <w:r w:rsidR="008A6361" w:rsidRPr="00286323">
        <w:rPr>
          <w:rFonts w:asciiTheme="minorEastAsia" w:eastAsiaTheme="minorEastAsia" w:hAnsiTheme="minorEastAsia"/>
          <w:color w:val="000000" w:themeColor="text1"/>
        </w:rPr>
        <w:t>投资</w:t>
      </w:r>
      <w:r w:rsidR="008A6361" w:rsidRPr="00286323">
        <w:rPr>
          <w:rFonts w:asciiTheme="minorEastAsia" w:eastAsiaTheme="minorEastAsia" w:hAnsiTheme="minorEastAsia" w:hint="eastAsia"/>
          <w:color w:val="000000" w:themeColor="text1"/>
        </w:rPr>
        <w:t>者</w:t>
      </w:r>
      <w:r w:rsidRPr="00286323">
        <w:rPr>
          <w:rFonts w:asciiTheme="minorEastAsia" w:eastAsiaTheme="minorEastAsia" w:hAnsiTheme="minorEastAsia"/>
          <w:color w:val="000000" w:themeColor="text1"/>
        </w:rPr>
        <w:t>T日申购基金成功后，基金注册登记机构在T＋1日为投资者</w:t>
      </w:r>
      <w:r w:rsidR="008A6361" w:rsidRPr="00286323">
        <w:rPr>
          <w:rFonts w:asciiTheme="minorEastAsia" w:eastAsiaTheme="minorEastAsia" w:hAnsiTheme="minorEastAsia" w:hint="eastAsia"/>
          <w:bCs/>
          <w:color w:val="000000" w:themeColor="text1"/>
          <w:sz w:val="24"/>
          <w:szCs w:val="24"/>
        </w:rPr>
        <w:t>增加</w:t>
      </w:r>
      <w:r w:rsidRPr="00286323">
        <w:rPr>
          <w:rFonts w:asciiTheme="minorEastAsia" w:eastAsiaTheme="minorEastAsia" w:hAnsiTheme="minorEastAsia"/>
          <w:color w:val="000000" w:themeColor="text1"/>
        </w:rPr>
        <w:t>权益并办理注册登记手续，投资</w:t>
      </w:r>
      <w:r w:rsidRPr="00286323">
        <w:rPr>
          <w:rFonts w:asciiTheme="minorEastAsia" w:eastAsiaTheme="minorEastAsia" w:hAnsiTheme="minorEastAsia" w:hint="eastAsia"/>
          <w:color w:val="000000" w:themeColor="text1"/>
        </w:rPr>
        <w:t>人</w:t>
      </w:r>
      <w:r w:rsidRPr="00286323">
        <w:rPr>
          <w:rFonts w:asciiTheme="minorEastAsia" w:eastAsiaTheme="minorEastAsia" w:hAnsiTheme="minorEastAsia"/>
          <w:color w:val="000000" w:themeColor="text1"/>
        </w:rPr>
        <w:t>自T＋2日起（含该日）有权赎回该部分基金份额。</w:t>
      </w:r>
    </w:p>
    <w:p w:rsidR="001A7CDB" w:rsidRPr="00286323" w:rsidRDefault="001A7CDB"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基金份额持有人</w:t>
      </w:r>
      <w:r w:rsidRPr="00286323">
        <w:rPr>
          <w:rFonts w:asciiTheme="minorEastAsia" w:eastAsiaTheme="minorEastAsia" w:hAnsiTheme="minorEastAsia"/>
          <w:color w:val="000000" w:themeColor="text1"/>
        </w:rPr>
        <w:t>T日赎回基金成功后，正常情况下，基金注册登记机构在T＋1日为</w:t>
      </w:r>
      <w:r w:rsidRPr="00286323">
        <w:rPr>
          <w:rFonts w:asciiTheme="minorEastAsia" w:eastAsiaTheme="minorEastAsia" w:hAnsiTheme="minorEastAsia" w:hint="eastAsia"/>
          <w:color w:val="000000" w:themeColor="text1"/>
        </w:rPr>
        <w:t>其办理</w:t>
      </w:r>
      <w:r w:rsidRPr="00286323">
        <w:rPr>
          <w:rFonts w:asciiTheme="minorEastAsia" w:eastAsiaTheme="minorEastAsia" w:hAnsiTheme="minorEastAsia"/>
          <w:color w:val="000000" w:themeColor="text1"/>
        </w:rPr>
        <w:t>扣除权益的注册登记手续。</w:t>
      </w:r>
    </w:p>
    <w:p w:rsidR="001A7CDB" w:rsidRPr="00286323" w:rsidRDefault="001A7CDB"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bCs/>
          <w:color w:val="000000" w:themeColor="text1"/>
        </w:rPr>
        <w:t>在法律法规允许的范围内，注册登记机构可以对上述注册登记办理时间进行调整，但不得实质影响投资者的合法权益，基金管理人最迟于开始实施前2个工作日在</w:t>
      </w:r>
      <w:r w:rsidR="002C0A24" w:rsidRPr="00286323">
        <w:rPr>
          <w:rFonts w:asciiTheme="minorEastAsia" w:eastAsiaTheme="minorEastAsia" w:hAnsiTheme="minorEastAsia" w:hint="eastAsia"/>
          <w:bCs/>
          <w:color w:val="000000" w:themeColor="text1"/>
        </w:rPr>
        <w:t>指定媒介</w:t>
      </w:r>
      <w:r w:rsidRPr="00286323">
        <w:rPr>
          <w:rFonts w:asciiTheme="minorEastAsia" w:eastAsiaTheme="minorEastAsia" w:hAnsiTheme="minorEastAsia" w:hint="eastAsia"/>
          <w:bCs/>
          <w:color w:val="000000" w:themeColor="text1"/>
        </w:rPr>
        <w:t>上公告</w:t>
      </w:r>
      <w:r w:rsidRPr="00286323">
        <w:rPr>
          <w:rFonts w:asciiTheme="minorEastAsia" w:eastAsiaTheme="minorEastAsia" w:hAnsiTheme="minorEastAsia"/>
          <w:color w:val="000000" w:themeColor="text1"/>
        </w:rPr>
        <w:t>。</w:t>
      </w:r>
    </w:p>
    <w:p w:rsidR="001A7CDB" w:rsidRPr="00286323" w:rsidRDefault="001A7CDB" w:rsidP="00F71D3B">
      <w:pPr>
        <w:pStyle w:val="20"/>
        <w:numPr>
          <w:ilvl w:val="0"/>
          <w:numId w:val="15"/>
        </w:numPr>
        <w:snapToGrid w:val="0"/>
        <w:spacing w:beforeLines="0" w:afterLines="0" w:line="360" w:lineRule="auto"/>
        <w:ind w:firstLineChars="0"/>
        <w:rPr>
          <w:rFonts w:asciiTheme="minorEastAsia" w:eastAsiaTheme="minorEastAsia" w:hAnsiTheme="minorEastAsia" w:cs="Arial"/>
          <w:b w:val="0"/>
          <w:color w:val="000000" w:themeColor="text1"/>
        </w:rPr>
      </w:pPr>
      <w:r w:rsidRPr="00286323">
        <w:rPr>
          <w:rFonts w:asciiTheme="minorEastAsia" w:eastAsiaTheme="minorEastAsia" w:hAnsiTheme="minorEastAsia" w:cs="Arial"/>
          <w:b w:val="0"/>
          <w:color w:val="000000" w:themeColor="text1"/>
        </w:rPr>
        <w:t>巨额赎回的</w:t>
      </w:r>
      <w:r w:rsidR="00934149" w:rsidRPr="00286323">
        <w:rPr>
          <w:rFonts w:asciiTheme="minorEastAsia" w:eastAsiaTheme="minorEastAsia" w:hAnsiTheme="minorEastAsia" w:cs="Arial" w:hint="eastAsia"/>
          <w:b w:val="0"/>
          <w:bCs/>
          <w:color w:val="000000" w:themeColor="text1"/>
        </w:rPr>
        <w:t>情形</w:t>
      </w:r>
      <w:r w:rsidRPr="00286323">
        <w:rPr>
          <w:rFonts w:asciiTheme="minorEastAsia" w:eastAsiaTheme="minorEastAsia" w:hAnsiTheme="minorEastAsia" w:cs="Arial"/>
          <w:b w:val="0"/>
          <w:color w:val="000000" w:themeColor="text1"/>
        </w:rPr>
        <w:t>及处理方式</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w:t>
      </w:r>
      <w:r w:rsidRPr="00286323">
        <w:rPr>
          <w:rFonts w:asciiTheme="minorEastAsia" w:eastAsiaTheme="minorEastAsia" w:hAnsiTheme="minorEastAsia" w:cs="Arial"/>
          <w:color w:val="000000" w:themeColor="text1"/>
        </w:rPr>
        <w:t>巨额赎回的认定</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2、</w:t>
      </w:r>
      <w:r w:rsidRPr="00286323">
        <w:rPr>
          <w:rFonts w:asciiTheme="minorEastAsia" w:eastAsiaTheme="minorEastAsia" w:hAnsiTheme="minorEastAsia" w:cs="Arial"/>
          <w:color w:val="000000" w:themeColor="text1"/>
        </w:rPr>
        <w:t>巨额赎回的处理方式</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当基金出现巨额赎回时，基金管理人可以根据基金当时的资产组合状况决定全额赎回或部分延期赎回。</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（1）全额赎回：当基金管理人认为有能力支付投资人的全部赎回申请时，按正常赎回程序执行。</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024C22" w:rsidRPr="00286323" w:rsidRDefault="00024C22"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lastRenderedPageBreak/>
        <w:t>（3）暂停赎回：连续2日以上（含本数）发生巨额赎回，如基金管理人认为有必要，可暂停接受基金的赎回申请；已经接受的赎回申请可以延缓支付赎回款项，但不得超过20个工作日，并应当在</w:t>
      </w:r>
      <w:r w:rsidR="00DD7D36" w:rsidRPr="00286323">
        <w:rPr>
          <w:rFonts w:asciiTheme="minorEastAsia" w:eastAsiaTheme="minorEastAsia" w:hAnsiTheme="minorEastAsia" w:cs="Arial" w:hint="eastAsia"/>
          <w:color w:val="000000" w:themeColor="text1"/>
        </w:rPr>
        <w:t>指定媒介</w:t>
      </w:r>
      <w:r w:rsidRPr="00286323">
        <w:rPr>
          <w:rFonts w:asciiTheme="minorEastAsia" w:eastAsiaTheme="minorEastAsia" w:hAnsiTheme="minorEastAsia" w:cs="Arial" w:hint="eastAsia"/>
          <w:color w:val="000000" w:themeColor="text1"/>
        </w:rPr>
        <w:t>上进行公告。</w:t>
      </w:r>
    </w:p>
    <w:p w:rsidR="001A7CDB" w:rsidRPr="00286323" w:rsidRDefault="001A7CDB" w:rsidP="006D6AC5">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3、巨额赎回的公告</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当发生上述延期赎回并延期办理时，基金管理人应当通过邮寄、传真或者其他方式在3个交易日内通知基金份额持有人，说明有关处理方法，</w:t>
      </w:r>
      <w:r w:rsidR="00DD7D36" w:rsidRPr="00286323">
        <w:rPr>
          <w:rFonts w:asciiTheme="minorEastAsia" w:eastAsiaTheme="minorEastAsia" w:hAnsiTheme="minorEastAsia" w:cs="Arial" w:hint="eastAsia"/>
          <w:color w:val="000000" w:themeColor="text1"/>
        </w:rPr>
        <w:t>并在</w:t>
      </w:r>
      <w:r w:rsidR="00DD7D36" w:rsidRPr="00286323">
        <w:rPr>
          <w:rFonts w:asciiTheme="minorEastAsia" w:eastAsiaTheme="minorEastAsia" w:hAnsiTheme="minorEastAsia" w:cs="Arial"/>
          <w:color w:val="000000" w:themeColor="text1"/>
        </w:rPr>
        <w:t>2</w:t>
      </w:r>
      <w:r w:rsidR="00DD7D36" w:rsidRPr="00286323">
        <w:rPr>
          <w:rFonts w:asciiTheme="minorEastAsia" w:eastAsiaTheme="minorEastAsia" w:hAnsiTheme="minorEastAsia" w:cs="Arial" w:hint="eastAsia"/>
          <w:color w:val="000000" w:themeColor="text1"/>
        </w:rPr>
        <w:t>日内在指定媒介上刊登公告</w:t>
      </w:r>
      <w:r w:rsidRPr="00286323">
        <w:rPr>
          <w:rFonts w:asciiTheme="minorEastAsia" w:eastAsiaTheme="minorEastAsia" w:hAnsiTheme="minorEastAsia" w:cs="Arial" w:hint="eastAsia"/>
          <w:color w:val="000000" w:themeColor="text1"/>
        </w:rPr>
        <w:t>。</w:t>
      </w:r>
    </w:p>
    <w:p w:rsidR="001A7CDB" w:rsidRPr="00286323" w:rsidRDefault="001A7CDB" w:rsidP="00F71D3B">
      <w:pPr>
        <w:pStyle w:val="20"/>
        <w:numPr>
          <w:ilvl w:val="0"/>
          <w:numId w:val="15"/>
        </w:numPr>
        <w:snapToGrid w:val="0"/>
        <w:spacing w:beforeLines="0" w:afterLines="0" w:line="360" w:lineRule="auto"/>
        <w:ind w:left="1260" w:hangingChars="450" w:hanging="1260"/>
        <w:rPr>
          <w:rFonts w:asciiTheme="minorEastAsia" w:eastAsiaTheme="minorEastAsia" w:hAnsiTheme="minorEastAsia" w:cs="Arial"/>
          <w:b w:val="0"/>
          <w:color w:val="000000" w:themeColor="text1"/>
          <w:kern w:val="0"/>
          <w:szCs w:val="21"/>
        </w:rPr>
      </w:pPr>
      <w:r w:rsidRPr="00286323">
        <w:rPr>
          <w:rFonts w:asciiTheme="minorEastAsia" w:eastAsiaTheme="minorEastAsia" w:hAnsiTheme="minorEastAsia" w:cs="Arial"/>
          <w:b w:val="0"/>
          <w:color w:val="000000" w:themeColor="text1"/>
          <w:kern w:val="0"/>
          <w:szCs w:val="21"/>
        </w:rPr>
        <w:t>拒绝或暂停申购、暂停赎回或延缓支付赎回款项的情形及处理</w:t>
      </w:r>
      <w:r w:rsidRPr="00286323">
        <w:rPr>
          <w:rFonts w:asciiTheme="minorEastAsia" w:eastAsiaTheme="minorEastAsia" w:hAnsiTheme="minorEastAsia" w:cs="Arial" w:hint="eastAsia"/>
          <w:b w:val="0"/>
          <w:color w:val="000000" w:themeColor="text1"/>
          <w:kern w:val="0"/>
          <w:szCs w:val="21"/>
        </w:rPr>
        <w:t>方式</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w:t>
      </w:r>
      <w:r w:rsidRPr="00286323">
        <w:rPr>
          <w:rFonts w:asciiTheme="minorEastAsia" w:eastAsiaTheme="minorEastAsia" w:hAnsiTheme="minorEastAsia" w:cs="Arial" w:hint="eastAsia"/>
          <w:color w:val="000000" w:themeColor="text1"/>
        </w:rPr>
        <w:t>、</w:t>
      </w:r>
      <w:r w:rsidRPr="00286323">
        <w:rPr>
          <w:rFonts w:asciiTheme="minorEastAsia" w:eastAsiaTheme="minorEastAsia" w:hAnsiTheme="minorEastAsia" w:cs="Arial"/>
          <w:color w:val="000000" w:themeColor="text1"/>
        </w:rPr>
        <w:t>发生下列情况时，基金管理人可拒绝或暂停接受基金投资人的申购申请：</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（1）因不可抗力导致基金无法正常运作。</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（2）发生基金合同规定的暂停基金资产估值情况。</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（3）证券交易所交易时间非正常停市，导致基金管理人无法计算当日基金资产净值。</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（4）本基金资产组合中的重要部分发生暂停交易或其他重大事件，继续接受申购可能会影响或损害其他基金份额持有人利益时。</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（5）基金管理人认为接受某笔或某些申购申请可能会影响或损害现有基金份额持有人利益时。</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（6）基金资产规模过大，使基金管理人无法找到合适的投资品种，或其他可能对基金业绩产生负面影响，从而损害现有基金份额持有人利益的情形。</w:t>
      </w:r>
    </w:p>
    <w:p w:rsidR="00024C22" w:rsidRPr="00286323" w:rsidRDefault="00024C22" w:rsidP="00024C22">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（7）基金管理人接受某笔或者某些申购申请有可能导致单一投资者持有基金份额的比例达到或者超过50%，或者变相规避50%集中度的情形时。</w:t>
      </w:r>
    </w:p>
    <w:p w:rsidR="00024C22" w:rsidRPr="00286323" w:rsidRDefault="00024C22" w:rsidP="00024C22">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8）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024C22" w:rsidRPr="00286323" w:rsidRDefault="00024C22" w:rsidP="00024C22">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9）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w:t>
      </w:r>
      <w:r w:rsidR="00024C22" w:rsidRPr="00286323">
        <w:rPr>
          <w:rFonts w:asciiTheme="minorEastAsia" w:eastAsiaTheme="minorEastAsia" w:hAnsiTheme="minorEastAsia" w:cs="Arial" w:hint="eastAsia"/>
          <w:color w:val="000000" w:themeColor="text1"/>
        </w:rPr>
        <w:t>10</w:t>
      </w:r>
      <w:r w:rsidRPr="00286323">
        <w:rPr>
          <w:rFonts w:asciiTheme="minorEastAsia" w:eastAsiaTheme="minorEastAsia" w:hAnsiTheme="minorEastAsia" w:cs="Arial" w:hint="eastAsia"/>
          <w:color w:val="000000" w:themeColor="text1"/>
        </w:rPr>
        <w:t>）法律法规规定或中国证监会认定的其他情形。</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发生上述第（1）至（4）项、第（6）、（</w:t>
      </w:r>
      <w:r w:rsidR="00024C22" w:rsidRPr="00286323">
        <w:rPr>
          <w:rFonts w:asciiTheme="minorEastAsia" w:eastAsiaTheme="minorEastAsia" w:hAnsiTheme="minorEastAsia" w:cs="Arial" w:hint="eastAsia"/>
          <w:color w:val="000000" w:themeColor="text1"/>
        </w:rPr>
        <w:t>8</w:t>
      </w:r>
      <w:r w:rsidRPr="00286323">
        <w:rPr>
          <w:rFonts w:asciiTheme="minorEastAsia" w:eastAsiaTheme="minorEastAsia" w:hAnsiTheme="minorEastAsia" w:cs="Arial" w:hint="eastAsia"/>
          <w:color w:val="000000" w:themeColor="text1"/>
        </w:rPr>
        <w:t>）</w:t>
      </w:r>
      <w:r w:rsidR="00024C22" w:rsidRPr="00286323">
        <w:rPr>
          <w:rFonts w:asciiTheme="minorEastAsia" w:eastAsiaTheme="minorEastAsia" w:hAnsiTheme="minorEastAsia" w:cs="Arial" w:hint="eastAsia"/>
          <w:color w:val="000000" w:themeColor="text1"/>
        </w:rPr>
        <w:t>、（9）、（10）</w:t>
      </w:r>
      <w:r w:rsidRPr="00286323">
        <w:rPr>
          <w:rFonts w:asciiTheme="minorEastAsia" w:eastAsiaTheme="minorEastAsia" w:hAnsiTheme="minorEastAsia" w:cs="Arial" w:hint="eastAsia"/>
          <w:color w:val="000000" w:themeColor="text1"/>
        </w:rPr>
        <w:t>项情形且基金管理人决定拒绝或暂停申购申请时，基金管理人应当根据有关规定在指定媒</w:t>
      </w:r>
      <w:r w:rsidR="00686558" w:rsidRPr="00286323">
        <w:rPr>
          <w:rFonts w:asciiTheme="minorEastAsia" w:eastAsiaTheme="minorEastAsia" w:hAnsiTheme="minorEastAsia" w:cs="Arial" w:hint="eastAsia"/>
          <w:color w:val="000000" w:themeColor="text1"/>
        </w:rPr>
        <w:t>介</w:t>
      </w:r>
      <w:r w:rsidRPr="00286323">
        <w:rPr>
          <w:rFonts w:asciiTheme="minorEastAsia" w:eastAsiaTheme="minorEastAsia" w:hAnsiTheme="minorEastAsia" w:cs="Arial" w:hint="eastAsia"/>
          <w:color w:val="000000" w:themeColor="text1"/>
        </w:rPr>
        <w:t>上刊登暂停申购公告。</w:t>
      </w:r>
      <w:r w:rsidRPr="00286323">
        <w:rPr>
          <w:rFonts w:asciiTheme="minorEastAsia" w:eastAsiaTheme="minorEastAsia" w:hAnsiTheme="minorEastAsia" w:cs="Arial" w:hint="eastAsia"/>
          <w:color w:val="000000" w:themeColor="text1"/>
        </w:rPr>
        <w:lastRenderedPageBreak/>
        <w:t>如果投资人的申购申请被拒绝，被拒绝的申购款项将退还给投资人。在暂停申购的情况消除时，基金管理人应及时恢复申购业务的办理。</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基金管理人拒绝或暂停接受申购的方式包括：</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（1）拒绝接受、暂停接受某笔或某数笔申购申请；</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（2）拒绝接受、暂停接受某个或某数个工作日的全部申购申请；</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（3）按比例拒绝接受、暂停接受某个或某数个工作日的申购申请。</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2</w:t>
      </w:r>
      <w:r w:rsidRPr="00286323">
        <w:rPr>
          <w:rFonts w:asciiTheme="minorEastAsia" w:eastAsiaTheme="minorEastAsia" w:hAnsiTheme="minorEastAsia" w:cs="Arial" w:hint="eastAsia"/>
          <w:color w:val="000000" w:themeColor="text1"/>
        </w:rPr>
        <w:t>、</w:t>
      </w:r>
      <w:r w:rsidRPr="00286323">
        <w:rPr>
          <w:rFonts w:asciiTheme="minorEastAsia" w:eastAsiaTheme="minorEastAsia" w:hAnsiTheme="minorEastAsia" w:cs="Arial"/>
          <w:color w:val="000000" w:themeColor="text1"/>
        </w:rPr>
        <w:t>发生下列情形时，基金管理人可暂停接受基金投资人的赎回申请或延缓支付赎回款项：</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（1）因不可抗力导致基金管理人不能支付赎回款项。</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（2）发生基金合同规定的暂停基金资产估值情况时，基金管理人可暂停接受投资人的赎回申请或延缓支付赎回款项。</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（3）证券交易所交易时间非正常停市，导致基金管理人无法计算当日基金资产净值。</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（4）连续两个或两个以上开放日发生巨额赎回。</w:t>
      </w:r>
    </w:p>
    <w:p w:rsidR="00024C22" w:rsidRPr="00286323" w:rsidRDefault="00024C22"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5）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w:t>
      </w:r>
      <w:r w:rsidR="00024C22" w:rsidRPr="00286323">
        <w:rPr>
          <w:rFonts w:asciiTheme="minorEastAsia" w:eastAsiaTheme="minorEastAsia" w:hAnsiTheme="minorEastAsia" w:cs="Arial" w:hint="eastAsia"/>
          <w:color w:val="000000" w:themeColor="text1"/>
        </w:rPr>
        <w:t>6</w:t>
      </w:r>
      <w:r w:rsidRPr="00286323">
        <w:rPr>
          <w:rFonts w:asciiTheme="minorEastAsia" w:eastAsiaTheme="minorEastAsia" w:hAnsiTheme="minorEastAsia" w:cs="Arial" w:hint="eastAsia"/>
          <w:color w:val="000000" w:themeColor="text1"/>
        </w:rPr>
        <w:t>）法律法规规定或中国证监会认定的其他情形。</w:t>
      </w:r>
    </w:p>
    <w:p w:rsidR="00ED0546" w:rsidRPr="00286323" w:rsidRDefault="00ED0546" w:rsidP="00F71D3B">
      <w:pPr>
        <w:snapToGrid w:val="0"/>
        <w:spacing w:line="360" w:lineRule="auto"/>
        <w:ind w:firstLine="420"/>
        <w:rPr>
          <w:rFonts w:asciiTheme="minorEastAsia" w:eastAsiaTheme="minorEastAsia" w:hAnsiTheme="minorEastAsia" w:cs="Arial"/>
          <w:bCs/>
          <w:color w:val="000000" w:themeColor="text1"/>
        </w:rPr>
      </w:pPr>
      <w:r w:rsidRPr="00286323">
        <w:rPr>
          <w:rFonts w:asciiTheme="minorEastAsia" w:eastAsiaTheme="minorEastAsia" w:hAnsiTheme="minorEastAsia" w:cs="Arial"/>
          <w:bCs/>
          <w:color w:val="000000" w:themeColor="text1"/>
        </w:rPr>
        <w:t>发生上述情形</w:t>
      </w:r>
      <w:r w:rsidRPr="00286323">
        <w:rPr>
          <w:rFonts w:asciiTheme="minorEastAsia" w:eastAsiaTheme="minorEastAsia" w:hAnsiTheme="minorEastAsia" w:cs="Arial" w:hint="eastAsia"/>
          <w:bCs/>
          <w:color w:val="000000" w:themeColor="text1"/>
        </w:rPr>
        <w:t>且基金管理人决定暂停接受基金份额持有人赎回申请</w:t>
      </w:r>
      <w:r w:rsidRPr="00286323">
        <w:rPr>
          <w:rFonts w:asciiTheme="minorEastAsia" w:eastAsiaTheme="minorEastAsia" w:hAnsiTheme="minorEastAsia" w:cs="Arial"/>
          <w:bCs/>
          <w:color w:val="000000" w:themeColor="text1"/>
        </w:rPr>
        <w:t>或延缓支付赎回款项时，基金管理人应报中国证监会备案。</w:t>
      </w:r>
      <w:r w:rsidRPr="00286323">
        <w:rPr>
          <w:rFonts w:asciiTheme="minorEastAsia" w:eastAsiaTheme="minorEastAsia" w:hAnsiTheme="minorEastAsia" w:cs="Arial" w:hint="eastAsia"/>
          <w:bCs/>
          <w:color w:val="000000" w:themeColor="text1"/>
        </w:rPr>
        <w:t>已接受的赎回申请，基金管理人将足额支付；如暂时不能足额支付的，基金管理人可在20个工作日内支付赎回款项。</w:t>
      </w:r>
      <w:r w:rsidRPr="00286323">
        <w:rPr>
          <w:rFonts w:asciiTheme="minorEastAsia" w:eastAsiaTheme="minorEastAsia" w:hAnsiTheme="minorEastAsia" w:cs="Arial"/>
          <w:bCs/>
          <w:color w:val="000000" w:themeColor="text1"/>
        </w:rPr>
        <w:t>在暂停赎回的情况消除时，基金管理人应及时恢复赎回业务的办理。</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3</w:t>
      </w:r>
      <w:r w:rsidRPr="00286323">
        <w:rPr>
          <w:rFonts w:asciiTheme="minorEastAsia" w:eastAsiaTheme="minorEastAsia" w:hAnsiTheme="minorEastAsia" w:cs="Arial" w:hint="eastAsia"/>
          <w:color w:val="000000" w:themeColor="text1"/>
        </w:rPr>
        <w:t>、发生上述暂停申购或赎回情况的，基金管理人当日应立即向中国证监会备案，并在规定期限内在</w:t>
      </w:r>
      <w:r w:rsidR="007C4910" w:rsidRPr="00286323">
        <w:rPr>
          <w:rFonts w:asciiTheme="minorEastAsia" w:eastAsiaTheme="minorEastAsia" w:hAnsiTheme="minorEastAsia" w:cs="Arial" w:hint="eastAsia"/>
          <w:color w:val="000000" w:themeColor="text1"/>
        </w:rPr>
        <w:t>指定媒介</w:t>
      </w:r>
      <w:r w:rsidRPr="00286323">
        <w:rPr>
          <w:rFonts w:asciiTheme="minorEastAsia" w:eastAsiaTheme="minorEastAsia" w:hAnsiTheme="minorEastAsia" w:cs="Arial" w:hint="eastAsia"/>
          <w:color w:val="000000" w:themeColor="text1"/>
        </w:rPr>
        <w:t>上刊登暂停办理申购或赎回业务的公告。</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w:t>
      </w:r>
      <w:r w:rsidRPr="00286323">
        <w:rPr>
          <w:rFonts w:asciiTheme="minorEastAsia" w:eastAsiaTheme="minorEastAsia" w:hAnsiTheme="minorEastAsia" w:cs="Arial" w:hint="eastAsia"/>
          <w:color w:val="000000" w:themeColor="text1"/>
        </w:rPr>
        <w:t>如发生暂停的时间为1日，基金管理人应于重新开放日，在</w:t>
      </w:r>
      <w:r w:rsidR="007C4910" w:rsidRPr="00286323">
        <w:rPr>
          <w:rFonts w:asciiTheme="minorEastAsia" w:eastAsiaTheme="minorEastAsia" w:hAnsiTheme="minorEastAsia" w:cs="Arial" w:hint="eastAsia"/>
          <w:color w:val="000000" w:themeColor="text1"/>
        </w:rPr>
        <w:t>指定媒介</w:t>
      </w:r>
      <w:r w:rsidRPr="00286323">
        <w:rPr>
          <w:rFonts w:asciiTheme="minorEastAsia" w:eastAsiaTheme="minorEastAsia" w:hAnsiTheme="minorEastAsia" w:cs="Arial" w:hint="eastAsia"/>
          <w:color w:val="000000" w:themeColor="text1"/>
        </w:rPr>
        <w:t>上刊登基金重新开放申购或赎回的公告，并公告最近1个开放日的基金份额净值。</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（2）</w:t>
      </w:r>
      <w:r w:rsidRPr="00286323">
        <w:rPr>
          <w:rFonts w:asciiTheme="minorEastAsia" w:eastAsiaTheme="minorEastAsia" w:hAnsiTheme="minorEastAsia" w:cs="Arial" w:hint="eastAsia"/>
          <w:color w:val="000000" w:themeColor="text1"/>
        </w:rPr>
        <w:t>基金管理人可以根据暂停申购或赎回的时间，依照《信息披露办法》的有关规定，最迟于重新开放日在</w:t>
      </w:r>
      <w:r w:rsidR="007C4910" w:rsidRPr="00286323">
        <w:rPr>
          <w:rFonts w:asciiTheme="minorEastAsia" w:eastAsiaTheme="minorEastAsia" w:hAnsiTheme="minorEastAsia" w:cs="Arial" w:hint="eastAsia"/>
          <w:color w:val="000000" w:themeColor="text1"/>
        </w:rPr>
        <w:t>指定媒介</w:t>
      </w:r>
      <w:r w:rsidRPr="00286323">
        <w:rPr>
          <w:rFonts w:asciiTheme="minorEastAsia" w:eastAsiaTheme="minorEastAsia" w:hAnsiTheme="minorEastAsia" w:cs="Arial" w:hint="eastAsia"/>
          <w:color w:val="000000" w:themeColor="text1"/>
        </w:rPr>
        <w:t>上刊登重新开放申购或赎回的公告；也可以根据实际情况在暂停公告中明确重新开放申购或赎回的时间，届时不再另行发布重新开放的公告。</w:t>
      </w:r>
    </w:p>
    <w:p w:rsidR="001A7CDB" w:rsidRPr="00286323" w:rsidRDefault="001A7CDB" w:rsidP="00F71D3B">
      <w:pPr>
        <w:snapToGrid w:val="0"/>
        <w:spacing w:line="360" w:lineRule="auto"/>
        <w:rPr>
          <w:rFonts w:asciiTheme="minorEastAsia" w:eastAsiaTheme="minorEastAsia" w:hAnsiTheme="minorEastAsia" w:cs="Arial"/>
          <w:color w:val="000000" w:themeColor="text1"/>
          <w:sz w:val="24"/>
        </w:rPr>
      </w:pPr>
    </w:p>
    <w:p w:rsidR="001A7CDB" w:rsidRPr="00286323" w:rsidRDefault="001A7CDB" w:rsidP="00F71D3B">
      <w:pPr>
        <w:pStyle w:val="11"/>
        <w:numPr>
          <w:ilvl w:val="0"/>
          <w:numId w:val="9"/>
        </w:numPr>
        <w:snapToGrid w:val="0"/>
        <w:spacing w:beforeLines="0" w:afterLines="0" w:line="360" w:lineRule="auto"/>
        <w:ind w:firstLineChars="0"/>
        <w:rPr>
          <w:rFonts w:asciiTheme="minorEastAsia" w:eastAsiaTheme="minorEastAsia" w:hAnsiTheme="minorEastAsia" w:cs="Arial"/>
          <w:color w:val="000000" w:themeColor="text1"/>
        </w:rPr>
      </w:pPr>
      <w:bookmarkStart w:id="28" w:name="_Toc236639827"/>
      <w:bookmarkStart w:id="29" w:name="_Toc236640272"/>
      <w:bookmarkStart w:id="30" w:name="_Toc236640728"/>
      <w:bookmarkStart w:id="31" w:name="_Toc236641051"/>
      <w:bookmarkStart w:id="32" w:name="_Toc91334992"/>
      <w:bookmarkStart w:id="33" w:name="_Toc81922643"/>
      <w:bookmarkEnd w:id="28"/>
      <w:bookmarkEnd w:id="29"/>
      <w:bookmarkEnd w:id="30"/>
      <w:bookmarkEnd w:id="31"/>
      <w:r w:rsidRPr="00286323">
        <w:rPr>
          <w:rFonts w:asciiTheme="minorEastAsia" w:eastAsiaTheme="minorEastAsia" w:hAnsiTheme="minorEastAsia" w:cs="Arial" w:hint="eastAsia"/>
          <w:color w:val="000000" w:themeColor="text1"/>
        </w:rPr>
        <w:lastRenderedPageBreak/>
        <w:t>基金转换</w:t>
      </w:r>
      <w:bookmarkEnd w:id="32"/>
      <w:bookmarkEnd w:id="33"/>
    </w:p>
    <w:p w:rsidR="001A7CDB" w:rsidRPr="00286323" w:rsidRDefault="001A7CDB" w:rsidP="00AF46A7">
      <w:pPr>
        <w:pStyle w:val="20"/>
        <w:numPr>
          <w:ilvl w:val="0"/>
          <w:numId w:val="16"/>
        </w:numPr>
        <w:snapToGrid w:val="0"/>
        <w:spacing w:beforeLines="0" w:afterLines="0" w:line="360" w:lineRule="auto"/>
        <w:ind w:leftChars="-67" w:left="-1" w:hangingChars="50" w:hanging="140"/>
        <w:rPr>
          <w:rFonts w:asciiTheme="minorEastAsia" w:eastAsiaTheme="minorEastAsia" w:hAnsiTheme="minorEastAsia" w:cs="Arial"/>
          <w:b w:val="0"/>
          <w:color w:val="000000" w:themeColor="text1"/>
        </w:rPr>
      </w:pPr>
      <w:r w:rsidRPr="00286323">
        <w:rPr>
          <w:rFonts w:asciiTheme="minorEastAsia" w:eastAsiaTheme="minorEastAsia" w:hAnsiTheme="minorEastAsia" w:cs="Arial"/>
          <w:b w:val="0"/>
          <w:color w:val="000000" w:themeColor="text1"/>
        </w:rPr>
        <w:t>基金转换</w:t>
      </w:r>
      <w:r w:rsidR="00761F48" w:rsidRPr="00286323">
        <w:rPr>
          <w:rFonts w:asciiTheme="minorEastAsia" w:eastAsiaTheme="minorEastAsia" w:hAnsiTheme="minorEastAsia" w:cs="Arial"/>
          <w:b w:val="0"/>
          <w:color w:val="000000" w:themeColor="text1"/>
        </w:rPr>
        <w:t>开始日及</w:t>
      </w:r>
      <w:r w:rsidR="00761F48" w:rsidRPr="00286323">
        <w:rPr>
          <w:rFonts w:asciiTheme="minorEastAsia" w:eastAsiaTheme="minorEastAsia" w:hAnsiTheme="minorEastAsia" w:cs="Arial" w:hint="eastAsia"/>
          <w:b w:val="0"/>
          <w:color w:val="000000" w:themeColor="text1"/>
        </w:rPr>
        <w:t>时间</w:t>
      </w:r>
    </w:p>
    <w:p w:rsidR="00761F48" w:rsidRPr="00286323" w:rsidRDefault="00761F48"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原易方达量化衍伸股票型证券投资基金已于</w:t>
      </w:r>
      <w:r w:rsidRPr="00286323">
        <w:rPr>
          <w:rFonts w:asciiTheme="minorEastAsia" w:eastAsiaTheme="minorEastAsia" w:hAnsiTheme="minorEastAsia"/>
          <w:color w:val="000000" w:themeColor="text1"/>
        </w:rPr>
        <w:t>2012</w:t>
      </w:r>
      <w:r w:rsidRPr="00286323">
        <w:rPr>
          <w:rFonts w:asciiTheme="minorEastAsia" w:eastAsiaTheme="minorEastAsia" w:hAnsiTheme="minorEastAsia" w:hint="eastAsia"/>
          <w:color w:val="000000" w:themeColor="text1"/>
        </w:rPr>
        <w:t>年</w:t>
      </w:r>
      <w:r w:rsidRPr="00286323">
        <w:rPr>
          <w:rFonts w:asciiTheme="minorEastAsia" w:eastAsiaTheme="minorEastAsia" w:hAnsiTheme="minorEastAsia"/>
          <w:color w:val="000000" w:themeColor="text1"/>
        </w:rPr>
        <w:t>8</w:t>
      </w:r>
      <w:r w:rsidRPr="00286323">
        <w:rPr>
          <w:rFonts w:asciiTheme="minorEastAsia" w:eastAsiaTheme="minorEastAsia" w:hAnsiTheme="minorEastAsia" w:hint="eastAsia"/>
          <w:color w:val="000000" w:themeColor="text1"/>
        </w:rPr>
        <w:t>月</w:t>
      </w:r>
      <w:r w:rsidRPr="00286323">
        <w:rPr>
          <w:rFonts w:asciiTheme="minorEastAsia" w:eastAsiaTheme="minorEastAsia" w:hAnsiTheme="minorEastAsia"/>
          <w:color w:val="000000" w:themeColor="text1"/>
        </w:rPr>
        <w:t>6</w:t>
      </w:r>
      <w:r w:rsidRPr="00286323">
        <w:rPr>
          <w:rFonts w:asciiTheme="minorEastAsia" w:eastAsiaTheme="minorEastAsia" w:hAnsiTheme="minorEastAsia" w:hint="eastAsia"/>
          <w:color w:val="000000" w:themeColor="text1"/>
        </w:rPr>
        <w:t>日</w:t>
      </w:r>
      <w:r w:rsidRPr="00286323">
        <w:rPr>
          <w:rFonts w:asciiTheme="minorEastAsia" w:eastAsiaTheme="minorEastAsia" w:hAnsiTheme="minorEastAsia" w:cs="Arial" w:hint="eastAsia"/>
          <w:color w:val="000000" w:themeColor="text1"/>
        </w:rPr>
        <w:t>开始办理</w:t>
      </w:r>
      <w:r w:rsidRPr="00286323">
        <w:rPr>
          <w:rFonts w:asciiTheme="minorEastAsia" w:eastAsiaTheme="minorEastAsia" w:hAnsiTheme="minorEastAsia" w:hint="eastAsia"/>
          <w:color w:val="000000" w:themeColor="text1"/>
        </w:rPr>
        <w:t>转换转出</w:t>
      </w:r>
      <w:r w:rsidRPr="00286323">
        <w:rPr>
          <w:rFonts w:asciiTheme="minorEastAsia" w:eastAsiaTheme="minorEastAsia" w:hAnsiTheme="minorEastAsia" w:hint="eastAsia"/>
          <w:bCs/>
          <w:color w:val="000000" w:themeColor="text1"/>
        </w:rPr>
        <w:t>业务</w:t>
      </w:r>
      <w:r w:rsidRPr="00286323">
        <w:rPr>
          <w:rFonts w:asciiTheme="minorEastAsia" w:eastAsiaTheme="minorEastAsia" w:hAnsiTheme="minorEastAsia" w:cs="Arial" w:hint="eastAsia"/>
          <w:color w:val="000000" w:themeColor="text1"/>
        </w:rPr>
        <w:t>，已于</w:t>
      </w:r>
      <w:r w:rsidRPr="00286323">
        <w:rPr>
          <w:rFonts w:asciiTheme="minorEastAsia" w:eastAsiaTheme="minorEastAsia" w:hAnsiTheme="minorEastAsia"/>
          <w:color w:val="000000" w:themeColor="text1"/>
        </w:rPr>
        <w:t>2012</w:t>
      </w:r>
      <w:r w:rsidRPr="00286323">
        <w:rPr>
          <w:rFonts w:asciiTheme="minorEastAsia" w:eastAsiaTheme="minorEastAsia" w:hAnsiTheme="minorEastAsia" w:hint="eastAsia"/>
          <w:color w:val="000000" w:themeColor="text1"/>
        </w:rPr>
        <w:t>年</w:t>
      </w:r>
      <w:r w:rsidRPr="00286323">
        <w:rPr>
          <w:rFonts w:asciiTheme="minorEastAsia" w:eastAsiaTheme="minorEastAsia" w:hAnsiTheme="minorEastAsia"/>
          <w:color w:val="000000" w:themeColor="text1"/>
        </w:rPr>
        <w:t>9</w:t>
      </w:r>
      <w:r w:rsidRPr="00286323">
        <w:rPr>
          <w:rFonts w:asciiTheme="minorEastAsia" w:eastAsiaTheme="minorEastAsia" w:hAnsiTheme="minorEastAsia" w:hint="eastAsia"/>
          <w:color w:val="000000" w:themeColor="text1"/>
        </w:rPr>
        <w:t>月</w:t>
      </w:r>
      <w:r w:rsidRPr="00286323">
        <w:rPr>
          <w:rFonts w:asciiTheme="minorEastAsia" w:eastAsiaTheme="minorEastAsia" w:hAnsiTheme="minorEastAsia"/>
          <w:color w:val="000000" w:themeColor="text1"/>
        </w:rPr>
        <w:t>27</w:t>
      </w:r>
      <w:r w:rsidRPr="00286323">
        <w:rPr>
          <w:rFonts w:asciiTheme="minorEastAsia" w:eastAsiaTheme="minorEastAsia" w:hAnsiTheme="minorEastAsia" w:hint="eastAsia"/>
          <w:color w:val="000000" w:themeColor="text1"/>
        </w:rPr>
        <w:t>日</w:t>
      </w:r>
      <w:r w:rsidRPr="00286323">
        <w:rPr>
          <w:rFonts w:asciiTheme="minorEastAsia" w:eastAsiaTheme="minorEastAsia" w:hAnsiTheme="minorEastAsia" w:cs="Arial" w:hint="eastAsia"/>
          <w:color w:val="000000" w:themeColor="text1"/>
        </w:rPr>
        <w:t>开始办理</w:t>
      </w:r>
      <w:r w:rsidRPr="00286323">
        <w:rPr>
          <w:rFonts w:asciiTheme="minorEastAsia" w:eastAsiaTheme="minorEastAsia" w:hAnsiTheme="minorEastAsia" w:hint="eastAsia"/>
          <w:color w:val="000000" w:themeColor="text1"/>
        </w:rPr>
        <w:t>转换转入</w:t>
      </w:r>
      <w:r w:rsidRPr="00286323">
        <w:rPr>
          <w:rFonts w:asciiTheme="minorEastAsia" w:eastAsiaTheme="minorEastAsia" w:hAnsiTheme="minorEastAsia" w:hint="eastAsia"/>
          <w:bCs/>
          <w:color w:val="000000" w:themeColor="text1"/>
        </w:rPr>
        <w:t>业务</w:t>
      </w:r>
      <w:r w:rsidRPr="00286323">
        <w:rPr>
          <w:rFonts w:asciiTheme="minorEastAsia" w:eastAsiaTheme="minorEastAsia" w:hAnsiTheme="minorEastAsia" w:cs="Arial" w:hint="eastAsia"/>
          <w:color w:val="000000" w:themeColor="text1"/>
        </w:rPr>
        <w:t>。</w:t>
      </w:r>
      <w:r w:rsidRPr="00286323">
        <w:rPr>
          <w:rFonts w:asciiTheme="minorEastAsia" w:eastAsiaTheme="minorEastAsia" w:hAnsiTheme="minorEastAsia" w:cs="Arial"/>
          <w:color w:val="000000" w:themeColor="text1"/>
        </w:rPr>
        <w:t>除有其他公告，基金管理人将继续办理本基金</w:t>
      </w:r>
      <w:r w:rsidRPr="00286323">
        <w:rPr>
          <w:rFonts w:asciiTheme="minorEastAsia" w:eastAsiaTheme="minorEastAsia" w:hAnsiTheme="minorEastAsia" w:cs="Arial" w:hint="eastAsia"/>
          <w:color w:val="000000" w:themeColor="text1"/>
        </w:rPr>
        <w:t>的</w:t>
      </w:r>
      <w:r w:rsidRPr="00286323">
        <w:rPr>
          <w:rFonts w:asciiTheme="minorEastAsia" w:eastAsiaTheme="minorEastAsia" w:hAnsiTheme="minorEastAsia" w:cs="Arial"/>
          <w:color w:val="000000" w:themeColor="text1"/>
        </w:rPr>
        <w:t>日常转换业务。</w:t>
      </w:r>
    </w:p>
    <w:p w:rsidR="00761F48" w:rsidRPr="00286323" w:rsidRDefault="00761F48"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上海证券交易所和深圳证券交易所同时开放交易的工作日为本基金办理转换业务的开放日（基金管理人根据法律法规或基金合同的规定公告暂停转换时除外）。开放日的具体业务办理时间为上海证券交易所、深圳证券交易所交易日的交易时间。</w:t>
      </w:r>
      <w:r w:rsidR="00891A5C" w:rsidRPr="00286323">
        <w:rPr>
          <w:rFonts w:asciiTheme="minorEastAsia" w:eastAsiaTheme="minorEastAsia" w:hAnsiTheme="minorEastAsia" w:hint="eastAsia"/>
          <w:bCs/>
          <w:color w:val="000000" w:themeColor="text1"/>
        </w:rPr>
        <w:t>若出现新的证券交易市场、证券交易所交易时间变更或其他特殊情况</w:t>
      </w:r>
      <w:r w:rsidRPr="00286323">
        <w:rPr>
          <w:rFonts w:asciiTheme="minorEastAsia" w:eastAsiaTheme="minorEastAsia" w:hAnsiTheme="minorEastAsia" w:cs="Arial" w:hint="eastAsia"/>
          <w:color w:val="000000" w:themeColor="text1"/>
        </w:rPr>
        <w:t>，基金管理人将根据法律法规和基金合同规定的原则视情况进行相应的调整并按照《信息披露办法》或其他相关规定在实施日前在</w:t>
      </w:r>
      <w:r w:rsidR="007C4910" w:rsidRPr="00286323">
        <w:rPr>
          <w:rFonts w:asciiTheme="minorEastAsia" w:eastAsiaTheme="minorEastAsia" w:hAnsiTheme="minorEastAsia" w:cs="Arial" w:hint="eastAsia"/>
          <w:color w:val="000000" w:themeColor="text1"/>
        </w:rPr>
        <w:t>指定媒介</w:t>
      </w:r>
      <w:r w:rsidRPr="00286323">
        <w:rPr>
          <w:rFonts w:asciiTheme="minorEastAsia" w:eastAsiaTheme="minorEastAsia" w:hAnsiTheme="minorEastAsia" w:cs="Arial" w:hint="eastAsia"/>
          <w:color w:val="000000" w:themeColor="text1"/>
        </w:rPr>
        <w:t>公告。</w:t>
      </w:r>
    </w:p>
    <w:p w:rsidR="00761F48" w:rsidRPr="00286323" w:rsidRDefault="00761F48"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投资者需在转出基金和转入基金均有交易的当日，方可办理基金转换业务。</w:t>
      </w:r>
    </w:p>
    <w:p w:rsidR="001C7E9C" w:rsidRPr="00286323" w:rsidRDefault="001C7E9C" w:rsidP="00AF46A7">
      <w:pPr>
        <w:pStyle w:val="20"/>
        <w:numPr>
          <w:ilvl w:val="0"/>
          <w:numId w:val="16"/>
        </w:numPr>
        <w:snapToGrid w:val="0"/>
        <w:spacing w:beforeLines="0" w:afterLines="0" w:line="360" w:lineRule="auto"/>
        <w:ind w:leftChars="-67" w:left="-1" w:hangingChars="50" w:hanging="140"/>
        <w:rPr>
          <w:rFonts w:asciiTheme="minorEastAsia" w:eastAsiaTheme="minorEastAsia" w:hAnsiTheme="minorEastAsia" w:cs="Arial"/>
          <w:b w:val="0"/>
          <w:color w:val="000000" w:themeColor="text1"/>
        </w:rPr>
      </w:pPr>
      <w:bookmarkStart w:id="34" w:name="_Toc198959617"/>
      <w:bookmarkStart w:id="35" w:name="_Toc229996708"/>
      <w:bookmarkStart w:id="36" w:name="_Toc245693554"/>
      <w:bookmarkStart w:id="37" w:name="_Toc347214154"/>
      <w:r w:rsidRPr="00286323">
        <w:rPr>
          <w:rFonts w:asciiTheme="minorEastAsia" w:eastAsiaTheme="minorEastAsia" w:hAnsiTheme="minorEastAsia" w:cs="Arial"/>
          <w:b w:val="0"/>
          <w:color w:val="000000" w:themeColor="text1"/>
        </w:rPr>
        <w:t>基金转换的原则</w:t>
      </w:r>
      <w:bookmarkEnd w:id="34"/>
      <w:bookmarkEnd w:id="35"/>
      <w:bookmarkEnd w:id="36"/>
      <w:bookmarkEnd w:id="37"/>
    </w:p>
    <w:p w:rsidR="001C7E9C" w:rsidRPr="00286323" w:rsidRDefault="008F1AE4"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w:t>
      </w:r>
      <w:r w:rsidR="001C7E9C" w:rsidRPr="00286323">
        <w:rPr>
          <w:rFonts w:asciiTheme="minorEastAsia" w:eastAsiaTheme="minorEastAsia" w:hAnsiTheme="minorEastAsia" w:cs="Arial" w:hint="eastAsia"/>
          <w:color w:val="000000" w:themeColor="text1"/>
        </w:rPr>
        <w:t>基金转换以份额为单位进行申请。投资者可以发起多次基金转换业务，基金转换费用按每笔申请单独计算。转换费用以人民币元为单位，计算结果按照四舍五入方法，保留小数点后两位。</w:t>
      </w:r>
    </w:p>
    <w:p w:rsidR="001C7E9C" w:rsidRPr="00286323" w:rsidRDefault="008F1AE4"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2、</w:t>
      </w:r>
      <w:r w:rsidR="001C7E9C" w:rsidRPr="00286323">
        <w:rPr>
          <w:rFonts w:asciiTheme="minorEastAsia" w:eastAsiaTheme="minorEastAsia" w:hAnsiTheme="minorEastAsia" w:cs="Arial" w:hint="eastAsia"/>
          <w:color w:val="000000" w:themeColor="text1"/>
        </w:rPr>
        <w:t>当日的转换申请可以在当日交易结束时间前撤销，在当日的交易时间结束后不得撤销。</w:t>
      </w:r>
    </w:p>
    <w:p w:rsidR="001C7E9C" w:rsidRPr="00286323" w:rsidRDefault="008F1AE4"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3、</w:t>
      </w:r>
      <w:r w:rsidR="001C7E9C" w:rsidRPr="00286323">
        <w:rPr>
          <w:rFonts w:asciiTheme="minorEastAsia" w:eastAsiaTheme="minorEastAsia" w:hAnsiTheme="minorEastAsia" w:cs="Arial" w:hint="eastAsia"/>
          <w:color w:val="000000" w:themeColor="text1"/>
        </w:rPr>
        <w:t>基金转换采取未知价法，即基金的转换价格以转换申请受理当日各转出、转入基金的份额净值为基准进行计算。</w:t>
      </w:r>
    </w:p>
    <w:p w:rsidR="001C7E9C" w:rsidRPr="00286323" w:rsidRDefault="008F1AE4"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4、</w:t>
      </w:r>
      <w:r w:rsidR="001C7E9C" w:rsidRPr="00286323">
        <w:rPr>
          <w:rFonts w:asciiTheme="minorEastAsia" w:eastAsiaTheme="minorEastAsia" w:hAnsiTheme="minorEastAsia" w:cs="Arial" w:hint="eastAsia"/>
          <w:color w:val="000000" w:themeColor="text1"/>
        </w:rPr>
        <w:t>基金转换只能在同一销售机构进行。转换的两只基金必须都是该销售机构</w:t>
      </w:r>
      <w:r w:rsidR="002B3F76" w:rsidRPr="00286323">
        <w:rPr>
          <w:rFonts w:asciiTheme="minorEastAsia" w:eastAsiaTheme="minorEastAsia" w:hAnsiTheme="minorEastAsia" w:cs="Arial" w:hint="eastAsia"/>
          <w:color w:val="000000" w:themeColor="text1"/>
        </w:rPr>
        <w:t>销售</w:t>
      </w:r>
      <w:r w:rsidR="001C7E9C" w:rsidRPr="00286323">
        <w:rPr>
          <w:rFonts w:asciiTheme="minorEastAsia" w:eastAsiaTheme="minorEastAsia" w:hAnsiTheme="minorEastAsia" w:cs="Arial" w:hint="eastAsia"/>
          <w:color w:val="000000" w:themeColor="text1"/>
        </w:rPr>
        <w:t>的同一基金管理人管理的、在同一注册登记机构注册登记的基金。</w:t>
      </w:r>
    </w:p>
    <w:p w:rsidR="001C7E9C" w:rsidRPr="00286323" w:rsidRDefault="008F1AE4"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5、</w:t>
      </w:r>
      <w:r w:rsidR="001C7E9C" w:rsidRPr="00286323">
        <w:rPr>
          <w:rFonts w:asciiTheme="minorEastAsia" w:eastAsiaTheme="minorEastAsia" w:hAnsiTheme="minorEastAsia" w:cs="Arial" w:hint="eastAsia"/>
          <w:color w:val="000000" w:themeColor="text1"/>
        </w:rPr>
        <w:t>投资者办理基金转换业务时，转出方的基金必须处于可赎回状态，转入方的基金必须处于可申购状态。</w:t>
      </w:r>
    </w:p>
    <w:p w:rsidR="001C7E9C" w:rsidRPr="00286323" w:rsidRDefault="008F1AE4" w:rsidP="00F71D3B">
      <w:pPr>
        <w:snapToGrid w:val="0"/>
        <w:spacing w:line="360" w:lineRule="auto"/>
        <w:ind w:firstLine="420"/>
        <w:rPr>
          <w:rFonts w:asciiTheme="minorEastAsia" w:eastAsiaTheme="minorEastAsia" w:hAnsiTheme="minorEastAsia"/>
          <w:color w:val="000000" w:themeColor="text1"/>
        </w:rPr>
      </w:pPr>
      <w:r w:rsidRPr="00286323">
        <w:rPr>
          <w:rFonts w:asciiTheme="minorEastAsia" w:eastAsiaTheme="minorEastAsia" w:hAnsiTheme="minorEastAsia" w:cs="Arial" w:hint="eastAsia"/>
          <w:color w:val="000000" w:themeColor="text1"/>
        </w:rPr>
        <w:t>6、</w:t>
      </w:r>
      <w:r w:rsidR="001C7E9C" w:rsidRPr="00286323">
        <w:rPr>
          <w:rFonts w:asciiTheme="minorEastAsia" w:eastAsiaTheme="minorEastAsia" w:hAnsiTheme="minorEastAsia" w:cs="Arial" w:hint="eastAsia"/>
          <w:color w:val="000000" w:themeColor="text1"/>
        </w:rPr>
        <w:t>转换业务遵循“先进先出”的业务规则，即份额注册日期在前的先转换出，份额注册日期在后的后转换出，如果转换申请当日，同时有赎回申请的情况下，则遵循先赎回后</w:t>
      </w:r>
      <w:r w:rsidR="001C7E9C" w:rsidRPr="00286323">
        <w:rPr>
          <w:rFonts w:asciiTheme="minorEastAsia" w:eastAsiaTheme="minorEastAsia" w:hAnsiTheme="minorEastAsia" w:hint="eastAsia"/>
          <w:color w:val="000000" w:themeColor="text1"/>
        </w:rPr>
        <w:t>转换的处理原则。</w:t>
      </w:r>
    </w:p>
    <w:p w:rsidR="001C7E9C" w:rsidRPr="00286323" w:rsidRDefault="008F1AE4" w:rsidP="00F71D3B">
      <w:pPr>
        <w:pStyle w:val="af0"/>
        <w:snapToGrid w:val="0"/>
        <w:spacing w:line="360" w:lineRule="auto"/>
        <w:ind w:firstLineChars="20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kern w:val="0"/>
          <w:szCs w:val="21"/>
        </w:rPr>
        <w:t>7、</w:t>
      </w:r>
      <w:r w:rsidR="001C7E9C" w:rsidRPr="00286323">
        <w:rPr>
          <w:rFonts w:asciiTheme="minorEastAsia" w:eastAsiaTheme="minorEastAsia" w:hAnsiTheme="minorEastAsia" w:hint="eastAsia"/>
          <w:color w:val="000000" w:themeColor="text1"/>
          <w:kern w:val="0"/>
          <w:szCs w:val="21"/>
        </w:rPr>
        <w:t>基金份额在转换后，</w:t>
      </w:r>
      <w:r w:rsidR="001C7E9C" w:rsidRPr="00286323">
        <w:rPr>
          <w:rFonts w:asciiTheme="minorEastAsia" w:eastAsiaTheme="minorEastAsia" w:hAnsiTheme="minorEastAsia"/>
          <w:color w:val="000000" w:themeColor="text1"/>
        </w:rPr>
        <w:t>转入的基金份额的持有期将自转入的基金份额被确认之日起重新开始计算。</w:t>
      </w:r>
    </w:p>
    <w:p w:rsidR="001C7E9C" w:rsidRPr="00286323" w:rsidRDefault="001C7E9C" w:rsidP="00F71D3B">
      <w:pPr>
        <w:pStyle w:val="af0"/>
        <w:snapToGrid w:val="0"/>
        <w:spacing w:line="360" w:lineRule="auto"/>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基金管理人可在不损害基金份额持有人权益的情况下更改上述原则，但应在调整生效前在</w:t>
      </w:r>
      <w:r w:rsidR="00995394" w:rsidRPr="00286323">
        <w:rPr>
          <w:rFonts w:asciiTheme="minorEastAsia" w:eastAsiaTheme="minorEastAsia" w:hAnsiTheme="minorEastAsia" w:hint="eastAsia"/>
          <w:color w:val="000000" w:themeColor="text1"/>
        </w:rPr>
        <w:t>指定媒介</w:t>
      </w:r>
      <w:r w:rsidRPr="00286323">
        <w:rPr>
          <w:rFonts w:asciiTheme="minorEastAsia" w:eastAsiaTheme="minorEastAsia" w:hAnsiTheme="minorEastAsia" w:hint="eastAsia"/>
          <w:color w:val="000000" w:themeColor="text1"/>
        </w:rPr>
        <w:t>上予以公告。</w:t>
      </w:r>
    </w:p>
    <w:p w:rsidR="001C7E9C" w:rsidRPr="00286323" w:rsidRDefault="001C7E9C" w:rsidP="00AF46A7">
      <w:pPr>
        <w:pStyle w:val="20"/>
        <w:numPr>
          <w:ilvl w:val="0"/>
          <w:numId w:val="16"/>
        </w:numPr>
        <w:snapToGrid w:val="0"/>
        <w:spacing w:beforeLines="0" w:afterLines="0" w:line="360" w:lineRule="auto"/>
        <w:ind w:leftChars="-67" w:left="-1" w:hangingChars="50" w:hanging="140"/>
        <w:rPr>
          <w:rFonts w:asciiTheme="minorEastAsia" w:eastAsiaTheme="minorEastAsia" w:hAnsiTheme="minorEastAsia" w:cs="Arial"/>
          <w:b w:val="0"/>
          <w:color w:val="000000" w:themeColor="text1"/>
        </w:rPr>
      </w:pPr>
      <w:bookmarkStart w:id="38" w:name="_Toc198959618"/>
      <w:bookmarkStart w:id="39" w:name="_Toc229996709"/>
      <w:bookmarkStart w:id="40" w:name="_Toc245693555"/>
      <w:bookmarkStart w:id="41" w:name="_Toc347214155"/>
      <w:r w:rsidRPr="00286323">
        <w:rPr>
          <w:rFonts w:asciiTheme="minorEastAsia" w:eastAsiaTheme="minorEastAsia" w:hAnsiTheme="minorEastAsia" w:cs="Arial" w:hint="eastAsia"/>
          <w:b w:val="0"/>
          <w:color w:val="000000" w:themeColor="text1"/>
        </w:rPr>
        <w:lastRenderedPageBreak/>
        <w:t>基金转换的程序</w:t>
      </w:r>
      <w:bookmarkEnd w:id="38"/>
      <w:bookmarkEnd w:id="39"/>
      <w:bookmarkEnd w:id="40"/>
      <w:bookmarkEnd w:id="41"/>
    </w:p>
    <w:p w:rsidR="001C7E9C" w:rsidRPr="00286323" w:rsidRDefault="008F1AE4" w:rsidP="00F71D3B">
      <w:pPr>
        <w:pStyle w:val="af0"/>
        <w:snapToGrid w:val="0"/>
        <w:spacing w:line="360" w:lineRule="auto"/>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w:t>
      </w:r>
      <w:r w:rsidR="001C7E9C" w:rsidRPr="00286323">
        <w:rPr>
          <w:rFonts w:asciiTheme="minorEastAsia" w:eastAsiaTheme="minorEastAsia" w:hAnsiTheme="minorEastAsia" w:hint="eastAsia"/>
          <w:color w:val="000000" w:themeColor="text1"/>
        </w:rPr>
        <w:t>基金转换的申请方式</w:t>
      </w:r>
    </w:p>
    <w:p w:rsidR="001C7E9C" w:rsidRPr="00286323" w:rsidRDefault="001C7E9C" w:rsidP="00F71D3B">
      <w:pPr>
        <w:pStyle w:val="af0"/>
        <w:snapToGrid w:val="0"/>
        <w:spacing w:line="360" w:lineRule="auto"/>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基金投资者必须根据基金管理人和基金</w:t>
      </w:r>
      <w:r w:rsidR="00FD1294" w:rsidRPr="00286323">
        <w:rPr>
          <w:rFonts w:asciiTheme="minorEastAsia" w:eastAsiaTheme="minorEastAsia" w:hAnsiTheme="minorEastAsia" w:hint="eastAsia"/>
          <w:color w:val="000000" w:themeColor="text1"/>
        </w:rPr>
        <w:t>销售</w:t>
      </w:r>
      <w:r w:rsidRPr="00286323">
        <w:rPr>
          <w:rFonts w:asciiTheme="minorEastAsia" w:eastAsiaTheme="minorEastAsia" w:hAnsiTheme="minorEastAsia" w:hint="eastAsia"/>
          <w:color w:val="000000" w:themeColor="text1"/>
        </w:rPr>
        <w:t>机构规定的手续，在开放日的业务办理时间提出转换的申请。</w:t>
      </w:r>
    </w:p>
    <w:p w:rsidR="001C7E9C" w:rsidRPr="00286323" w:rsidRDefault="001C7E9C" w:rsidP="00F71D3B">
      <w:pPr>
        <w:pStyle w:val="af0"/>
        <w:snapToGrid w:val="0"/>
        <w:spacing w:line="360" w:lineRule="auto"/>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提交基金转换申请时，账户中必须有足够可用的转出基金份额余额。</w:t>
      </w:r>
    </w:p>
    <w:p w:rsidR="001C7E9C" w:rsidRPr="00286323" w:rsidRDefault="008F1AE4" w:rsidP="00F71D3B">
      <w:pPr>
        <w:pStyle w:val="af0"/>
        <w:snapToGrid w:val="0"/>
        <w:spacing w:line="360" w:lineRule="auto"/>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w:t>
      </w:r>
      <w:r w:rsidR="001C7E9C" w:rsidRPr="00286323">
        <w:rPr>
          <w:rFonts w:asciiTheme="minorEastAsia" w:eastAsiaTheme="minorEastAsia" w:hAnsiTheme="minorEastAsia" w:hint="eastAsia"/>
          <w:color w:val="000000" w:themeColor="text1"/>
        </w:rPr>
        <w:t>基金转换申请的确认</w:t>
      </w:r>
    </w:p>
    <w:p w:rsidR="001C7E9C" w:rsidRPr="00286323" w:rsidRDefault="001C7E9C" w:rsidP="00F71D3B">
      <w:pPr>
        <w:pStyle w:val="af0"/>
        <w:snapToGrid w:val="0"/>
        <w:spacing w:line="360" w:lineRule="auto"/>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正常情况下，基金管理人以在规定的基金业务办理时间段内收到基金转换申请的当天作为基金转换的申请日（T日），并在T+1工作日对该交易的有效性进行确认。投资者可在T+2工作日及之后查询成交情况。</w:t>
      </w:r>
    </w:p>
    <w:p w:rsidR="001C7E9C" w:rsidRPr="00286323" w:rsidRDefault="001C7E9C" w:rsidP="00AF46A7">
      <w:pPr>
        <w:pStyle w:val="20"/>
        <w:numPr>
          <w:ilvl w:val="0"/>
          <w:numId w:val="16"/>
        </w:numPr>
        <w:snapToGrid w:val="0"/>
        <w:spacing w:beforeLines="0" w:afterLines="0" w:line="360" w:lineRule="auto"/>
        <w:ind w:leftChars="-67" w:left="-1" w:hangingChars="50" w:hanging="140"/>
        <w:rPr>
          <w:rFonts w:asciiTheme="minorEastAsia" w:eastAsiaTheme="minorEastAsia" w:hAnsiTheme="minorEastAsia" w:cs="Arial"/>
          <w:b w:val="0"/>
          <w:color w:val="000000" w:themeColor="text1"/>
        </w:rPr>
      </w:pPr>
      <w:bookmarkStart w:id="42" w:name="_Toc198959619"/>
      <w:bookmarkStart w:id="43" w:name="_Toc229996710"/>
      <w:bookmarkStart w:id="44" w:name="_Toc245693556"/>
      <w:bookmarkStart w:id="45" w:name="_Toc347214156"/>
      <w:r w:rsidRPr="00286323">
        <w:rPr>
          <w:rFonts w:asciiTheme="minorEastAsia" w:eastAsiaTheme="minorEastAsia" w:hAnsiTheme="minorEastAsia" w:cs="Arial" w:hint="eastAsia"/>
          <w:b w:val="0"/>
          <w:color w:val="000000" w:themeColor="text1"/>
        </w:rPr>
        <w:t>基金转换的数额限制</w:t>
      </w:r>
      <w:bookmarkEnd w:id="42"/>
      <w:bookmarkEnd w:id="43"/>
      <w:bookmarkEnd w:id="44"/>
      <w:bookmarkEnd w:id="45"/>
    </w:p>
    <w:p w:rsidR="001C7E9C" w:rsidRPr="00286323" w:rsidRDefault="001C7E9C" w:rsidP="00F71D3B">
      <w:pPr>
        <w:pStyle w:val="af0"/>
        <w:snapToGrid w:val="0"/>
        <w:spacing w:line="360" w:lineRule="auto"/>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kern w:val="0"/>
          <w:szCs w:val="21"/>
        </w:rPr>
        <w:t>基金份额持有人可将其全部或部分基金份额转换成另一只基金，本基金单笔转出申请不得少于1份（如该</w:t>
      </w:r>
      <w:r w:rsidR="00891A5C" w:rsidRPr="00286323">
        <w:rPr>
          <w:rFonts w:asciiTheme="minorEastAsia" w:eastAsiaTheme="minorEastAsia" w:hAnsiTheme="minorEastAsia" w:hint="eastAsia"/>
          <w:color w:val="000000" w:themeColor="text1"/>
          <w:kern w:val="0"/>
          <w:szCs w:val="21"/>
        </w:rPr>
        <w:t>账户</w:t>
      </w:r>
      <w:r w:rsidRPr="00286323">
        <w:rPr>
          <w:rFonts w:asciiTheme="minorEastAsia" w:eastAsiaTheme="minorEastAsia" w:hAnsiTheme="minorEastAsia" w:hint="eastAsia"/>
          <w:color w:val="000000" w:themeColor="text1"/>
          <w:kern w:val="0"/>
          <w:szCs w:val="21"/>
        </w:rPr>
        <w:t>在该销售机构托管的该基金余额不足1份，则必须一次性赎回或转出该基金全部份额）；若某笔转换导致投资者在</w:t>
      </w:r>
      <w:r w:rsidR="003E5700" w:rsidRPr="00286323">
        <w:rPr>
          <w:rFonts w:asciiTheme="minorEastAsia" w:eastAsiaTheme="minorEastAsia" w:hAnsiTheme="minorEastAsia" w:cs="Arial" w:hint="eastAsia"/>
          <w:color w:val="000000" w:themeColor="text1"/>
        </w:rPr>
        <w:t>该</w:t>
      </w:r>
      <w:r w:rsidRPr="00286323">
        <w:rPr>
          <w:rFonts w:asciiTheme="minorEastAsia" w:eastAsiaTheme="minorEastAsia" w:hAnsiTheme="minorEastAsia" w:hint="eastAsia"/>
          <w:color w:val="000000" w:themeColor="text1"/>
          <w:kern w:val="0"/>
          <w:szCs w:val="21"/>
        </w:rPr>
        <w:t>销售机构托管的该基金余额不足1份时，基金管理人有权将投资者在该销售机构托管的该基金剩余份额一次性全部赎回。</w:t>
      </w:r>
    </w:p>
    <w:p w:rsidR="001C7E9C" w:rsidRPr="00286323" w:rsidRDefault="001C7E9C" w:rsidP="00F71D3B">
      <w:pPr>
        <w:pStyle w:val="af0"/>
        <w:snapToGrid w:val="0"/>
        <w:spacing w:line="360" w:lineRule="auto"/>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基金管理人可根据市场情况制定或调整上述基金转换的程序及有关限制，但应在调整生效前在</w:t>
      </w:r>
      <w:r w:rsidR="00995394" w:rsidRPr="00286323">
        <w:rPr>
          <w:rFonts w:asciiTheme="minorEastAsia" w:eastAsiaTheme="minorEastAsia" w:hAnsiTheme="minorEastAsia" w:hint="eastAsia"/>
          <w:color w:val="000000" w:themeColor="text1"/>
        </w:rPr>
        <w:t>指定媒介</w:t>
      </w:r>
      <w:r w:rsidRPr="00286323">
        <w:rPr>
          <w:rFonts w:asciiTheme="minorEastAsia" w:eastAsiaTheme="minorEastAsia" w:hAnsiTheme="minorEastAsia" w:hint="eastAsia"/>
          <w:color w:val="000000" w:themeColor="text1"/>
        </w:rPr>
        <w:t>上予以公告。</w:t>
      </w:r>
    </w:p>
    <w:p w:rsidR="001C7E9C" w:rsidRPr="00286323" w:rsidRDefault="001C7E9C" w:rsidP="00AF46A7">
      <w:pPr>
        <w:pStyle w:val="20"/>
        <w:numPr>
          <w:ilvl w:val="0"/>
          <w:numId w:val="16"/>
        </w:numPr>
        <w:snapToGrid w:val="0"/>
        <w:spacing w:beforeLines="0" w:afterLines="0" w:line="360" w:lineRule="auto"/>
        <w:ind w:leftChars="-67" w:left="-1" w:hangingChars="50" w:hanging="140"/>
        <w:rPr>
          <w:rFonts w:asciiTheme="minorEastAsia" w:eastAsiaTheme="minorEastAsia" w:hAnsiTheme="minorEastAsia" w:cs="Arial"/>
          <w:b w:val="0"/>
          <w:color w:val="000000" w:themeColor="text1"/>
        </w:rPr>
      </w:pPr>
      <w:bookmarkStart w:id="46" w:name="_Toc87367293"/>
      <w:bookmarkStart w:id="47" w:name="_Toc198959620"/>
      <w:bookmarkStart w:id="48" w:name="_Toc229996711"/>
      <w:bookmarkStart w:id="49" w:name="_Toc245693557"/>
      <w:bookmarkStart w:id="50" w:name="_Toc347214157"/>
      <w:r w:rsidRPr="00286323">
        <w:rPr>
          <w:rFonts w:asciiTheme="minorEastAsia" w:eastAsiaTheme="minorEastAsia" w:hAnsiTheme="minorEastAsia" w:cs="Arial" w:hint="eastAsia"/>
          <w:b w:val="0"/>
          <w:color w:val="000000" w:themeColor="text1"/>
        </w:rPr>
        <w:t>基金转换费率</w:t>
      </w:r>
      <w:bookmarkEnd w:id="46"/>
      <w:bookmarkEnd w:id="47"/>
      <w:bookmarkEnd w:id="48"/>
      <w:bookmarkEnd w:id="49"/>
      <w:bookmarkEnd w:id="50"/>
    </w:p>
    <w:p w:rsidR="001C7E9C" w:rsidRPr="00286323" w:rsidRDefault="001C7E9C" w:rsidP="00F71D3B">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基金转换费由基金份额持有人承担，由转出基金赎回费用及基金申购补差费用构成，其中赎回费用按照</w:t>
      </w:r>
      <w:r w:rsidR="005E257B" w:rsidRPr="00286323">
        <w:rPr>
          <w:rFonts w:asciiTheme="minorEastAsia" w:eastAsiaTheme="minorEastAsia" w:hAnsiTheme="minorEastAsia" w:hint="eastAsia"/>
          <w:color w:val="000000" w:themeColor="text1"/>
        </w:rPr>
        <w:t>各基金的</w:t>
      </w:r>
      <w:r w:rsidRPr="00286323">
        <w:rPr>
          <w:rFonts w:asciiTheme="minorEastAsia" w:eastAsiaTheme="minorEastAsia" w:hAnsiTheme="minorEastAsia" w:hint="eastAsia"/>
          <w:color w:val="000000" w:themeColor="text1"/>
        </w:rPr>
        <w:t>基金合同、更新的招募说明书及最新的相关公告约定的比例归入基金财产，其余部分用于支付注册登记费等相关手续费，具体实施办法和转换费率详见相关公告。</w:t>
      </w:r>
      <w:r w:rsidRPr="00286323">
        <w:rPr>
          <w:rFonts w:asciiTheme="minorEastAsia" w:eastAsiaTheme="minorEastAsia" w:hAnsiTheme="minorEastAsia"/>
          <w:color w:val="000000" w:themeColor="text1"/>
        </w:rPr>
        <w:t>转换费用以人民币元为单位，计算结果按照四舍五入方法，保留小数点后两位。</w:t>
      </w:r>
    </w:p>
    <w:p w:rsidR="001C7E9C" w:rsidRPr="00286323" w:rsidRDefault="001C7E9C" w:rsidP="00F71D3B">
      <w:pPr>
        <w:autoSpaceDE w:val="0"/>
        <w:autoSpaceDN w:val="0"/>
        <w:snapToGrid w:val="0"/>
        <w:spacing w:line="360" w:lineRule="auto"/>
        <w:ind w:firstLine="420"/>
        <w:textAlignment w:val="bottom"/>
        <w:rPr>
          <w:rFonts w:asciiTheme="minorEastAsia" w:eastAsiaTheme="minorEastAsia" w:hAnsiTheme="minorEastAsia"/>
          <w:color w:val="000000" w:themeColor="text1"/>
        </w:rPr>
      </w:pPr>
      <w:bookmarkStart w:id="51" w:name="_Toc182826360"/>
      <w:bookmarkStart w:id="52" w:name="_Toc198959621"/>
      <w:r w:rsidRPr="00286323">
        <w:rPr>
          <w:rFonts w:asciiTheme="minorEastAsia" w:eastAsiaTheme="minorEastAsia" w:hAnsiTheme="minorEastAsia"/>
          <w:color w:val="000000" w:themeColor="text1"/>
        </w:rPr>
        <w:t>基金管理人可以在基金合同规定的范围内调整</w:t>
      </w:r>
      <w:r w:rsidRPr="00286323">
        <w:rPr>
          <w:rFonts w:asciiTheme="minorEastAsia" w:eastAsiaTheme="minorEastAsia" w:hAnsiTheme="minorEastAsia" w:hint="eastAsia"/>
          <w:color w:val="000000" w:themeColor="text1"/>
        </w:rPr>
        <w:t>上述</w:t>
      </w:r>
      <w:r w:rsidRPr="00286323">
        <w:rPr>
          <w:rFonts w:asciiTheme="minorEastAsia" w:eastAsiaTheme="minorEastAsia" w:hAnsiTheme="minorEastAsia"/>
          <w:color w:val="000000" w:themeColor="text1"/>
        </w:rPr>
        <w:t>费率</w:t>
      </w:r>
      <w:r w:rsidRPr="00286323">
        <w:rPr>
          <w:rFonts w:asciiTheme="minorEastAsia" w:eastAsiaTheme="minorEastAsia" w:hAnsiTheme="minorEastAsia" w:hint="eastAsia"/>
          <w:color w:val="000000" w:themeColor="text1"/>
        </w:rPr>
        <w:t>。</w:t>
      </w:r>
      <w:r w:rsidRPr="00286323">
        <w:rPr>
          <w:rFonts w:asciiTheme="minorEastAsia" w:eastAsiaTheme="minorEastAsia" w:hAnsiTheme="minorEastAsia"/>
          <w:color w:val="000000" w:themeColor="text1"/>
        </w:rPr>
        <w:t>上述费率如发生变更，</w:t>
      </w:r>
      <w:r w:rsidRPr="00286323">
        <w:rPr>
          <w:rFonts w:asciiTheme="minorEastAsia" w:eastAsiaTheme="minorEastAsia" w:hAnsiTheme="minorEastAsia" w:hint="eastAsia"/>
          <w:color w:val="000000" w:themeColor="text1"/>
        </w:rPr>
        <w:t>应在调整生效前在指定</w:t>
      </w:r>
      <w:r w:rsidR="00995394" w:rsidRPr="00286323">
        <w:rPr>
          <w:rFonts w:asciiTheme="minorEastAsia" w:eastAsiaTheme="minorEastAsia" w:hAnsiTheme="minorEastAsia" w:hint="eastAsia"/>
          <w:color w:val="000000" w:themeColor="text1"/>
        </w:rPr>
        <w:t>媒介</w:t>
      </w:r>
      <w:r w:rsidRPr="00286323">
        <w:rPr>
          <w:rFonts w:asciiTheme="minorEastAsia" w:eastAsiaTheme="minorEastAsia" w:hAnsiTheme="minorEastAsia" w:hint="eastAsia"/>
          <w:color w:val="000000" w:themeColor="text1"/>
        </w:rPr>
        <w:t>上予以公告。</w:t>
      </w:r>
    </w:p>
    <w:p w:rsidR="001C7E9C" w:rsidRPr="00286323" w:rsidRDefault="00A849CB" w:rsidP="00F71D3B">
      <w:pPr>
        <w:autoSpaceDE w:val="0"/>
        <w:autoSpaceDN w:val="0"/>
        <w:snapToGrid w:val="0"/>
        <w:spacing w:line="360" w:lineRule="auto"/>
        <w:ind w:firstLine="420"/>
        <w:textAlignment w:val="bottom"/>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1C7E9C" w:rsidRPr="00286323" w:rsidRDefault="001C7E9C" w:rsidP="00AF46A7">
      <w:pPr>
        <w:pStyle w:val="20"/>
        <w:numPr>
          <w:ilvl w:val="0"/>
          <w:numId w:val="16"/>
        </w:numPr>
        <w:snapToGrid w:val="0"/>
        <w:spacing w:beforeLines="0" w:afterLines="0" w:line="360" w:lineRule="auto"/>
        <w:ind w:leftChars="-67" w:left="-1" w:hangingChars="50" w:hanging="140"/>
        <w:rPr>
          <w:rFonts w:asciiTheme="minorEastAsia" w:eastAsiaTheme="minorEastAsia" w:hAnsiTheme="minorEastAsia" w:cs="Arial"/>
          <w:b w:val="0"/>
          <w:color w:val="000000" w:themeColor="text1"/>
        </w:rPr>
      </w:pPr>
      <w:bookmarkStart w:id="53" w:name="_Toc229996712"/>
      <w:bookmarkStart w:id="54" w:name="_Toc245693558"/>
      <w:bookmarkStart w:id="55" w:name="_Toc347214158"/>
      <w:r w:rsidRPr="00286323">
        <w:rPr>
          <w:rFonts w:asciiTheme="minorEastAsia" w:eastAsiaTheme="minorEastAsia" w:hAnsiTheme="minorEastAsia" w:cs="Arial" w:hint="eastAsia"/>
          <w:b w:val="0"/>
          <w:color w:val="000000" w:themeColor="text1"/>
        </w:rPr>
        <w:t>基金转换份额的计算方式</w:t>
      </w:r>
      <w:bookmarkEnd w:id="51"/>
      <w:bookmarkEnd w:id="52"/>
      <w:bookmarkEnd w:id="53"/>
      <w:bookmarkEnd w:id="54"/>
      <w:bookmarkEnd w:id="55"/>
    </w:p>
    <w:p w:rsidR="001C7E9C" w:rsidRPr="00286323" w:rsidRDefault="001C7E9C" w:rsidP="00F71D3B">
      <w:pPr>
        <w:snapToGrid w:val="0"/>
        <w:spacing w:line="360" w:lineRule="auto"/>
        <w:ind w:firstLine="482"/>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计算公式：</w:t>
      </w:r>
    </w:p>
    <w:p w:rsidR="001C7E9C" w:rsidRPr="00286323" w:rsidRDefault="001C7E9C" w:rsidP="00F71D3B">
      <w:pPr>
        <w:snapToGrid w:val="0"/>
        <w:spacing w:line="360" w:lineRule="auto"/>
        <w:ind w:firstLine="420"/>
        <w:rPr>
          <w:rFonts w:asciiTheme="minorEastAsia" w:eastAsiaTheme="minorEastAsia" w:hAnsiTheme="minorEastAsia" w:cs="Arial"/>
          <w:color w:val="000000" w:themeColor="text1"/>
        </w:rPr>
      </w:pPr>
      <w:bookmarkStart w:id="56" w:name="_Toc347214159"/>
      <w:bookmarkStart w:id="57" w:name="_Toc353180311"/>
      <w:r w:rsidRPr="00286323">
        <w:rPr>
          <w:rFonts w:asciiTheme="minorEastAsia" w:eastAsiaTheme="minorEastAsia" w:hAnsiTheme="minorEastAsia" w:cs="Arial" w:hint="eastAsia"/>
          <w:color w:val="000000" w:themeColor="text1"/>
        </w:rPr>
        <w:t>A＝［B×C×(1-D)/（1+G）+F］/E</w:t>
      </w:r>
      <w:bookmarkEnd w:id="56"/>
      <w:bookmarkEnd w:id="57"/>
    </w:p>
    <w:p w:rsidR="001C7E9C" w:rsidRPr="00286323" w:rsidRDefault="001C7E9C" w:rsidP="00F71D3B">
      <w:pPr>
        <w:snapToGrid w:val="0"/>
        <w:spacing w:line="360" w:lineRule="auto"/>
        <w:ind w:firstLine="420"/>
        <w:rPr>
          <w:rFonts w:asciiTheme="minorEastAsia" w:eastAsiaTheme="minorEastAsia" w:hAnsiTheme="minorEastAsia" w:cs="Arial"/>
          <w:color w:val="000000" w:themeColor="text1"/>
        </w:rPr>
      </w:pPr>
      <w:bookmarkStart w:id="58" w:name="_Toc347214160"/>
      <w:bookmarkStart w:id="59" w:name="_Toc353180312"/>
      <w:r w:rsidRPr="00286323">
        <w:rPr>
          <w:rFonts w:asciiTheme="minorEastAsia" w:eastAsiaTheme="minorEastAsia" w:hAnsiTheme="minorEastAsia" w:cs="Arial" w:hint="eastAsia"/>
          <w:color w:val="000000" w:themeColor="text1"/>
        </w:rPr>
        <w:t>H＝</w:t>
      </w:r>
      <w:r w:rsidRPr="00286323">
        <w:rPr>
          <w:rFonts w:asciiTheme="minorEastAsia" w:eastAsiaTheme="minorEastAsia" w:hAnsiTheme="minorEastAsia" w:cs="Arial"/>
          <w:color w:val="000000" w:themeColor="text1"/>
        </w:rPr>
        <w:t>B×C×D</w:t>
      </w:r>
      <w:bookmarkEnd w:id="58"/>
      <w:bookmarkEnd w:id="59"/>
    </w:p>
    <w:p w:rsidR="001C7E9C" w:rsidRPr="00286323" w:rsidRDefault="001C7E9C"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lastRenderedPageBreak/>
        <w:t>J＝[B×C×(1-D)/(1+G)]×G</w:t>
      </w:r>
    </w:p>
    <w:p w:rsidR="001C7E9C" w:rsidRPr="00286323" w:rsidRDefault="001C7E9C" w:rsidP="00F71D3B">
      <w:pPr>
        <w:pStyle w:val="af0"/>
        <w:snapToGrid w:val="0"/>
        <w:spacing w:line="360" w:lineRule="auto"/>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其中，</w:t>
      </w:r>
      <w:r w:rsidRPr="00286323">
        <w:rPr>
          <w:rFonts w:asciiTheme="minorEastAsia" w:eastAsiaTheme="minorEastAsia" w:hAnsiTheme="minorEastAsia"/>
          <w:color w:val="000000" w:themeColor="text1"/>
        </w:rPr>
        <w:t>A</w:t>
      </w:r>
      <w:r w:rsidRPr="00286323">
        <w:rPr>
          <w:rFonts w:asciiTheme="minorEastAsia" w:eastAsiaTheme="minorEastAsia" w:hAnsiTheme="minorEastAsia" w:hint="eastAsia"/>
          <w:color w:val="000000" w:themeColor="text1"/>
        </w:rPr>
        <w:t>为转入的基金份额；</w:t>
      </w:r>
      <w:r w:rsidRPr="00286323">
        <w:rPr>
          <w:rFonts w:asciiTheme="minorEastAsia" w:eastAsiaTheme="minorEastAsia" w:hAnsiTheme="minorEastAsia"/>
          <w:color w:val="000000" w:themeColor="text1"/>
        </w:rPr>
        <w:t>B</w:t>
      </w:r>
      <w:r w:rsidRPr="00286323">
        <w:rPr>
          <w:rFonts w:asciiTheme="minorEastAsia" w:eastAsiaTheme="minorEastAsia" w:hAnsiTheme="minorEastAsia" w:hint="eastAsia"/>
          <w:color w:val="000000" w:themeColor="text1"/>
        </w:rPr>
        <w:t>为转出的基金份额；</w:t>
      </w:r>
      <w:r w:rsidRPr="00286323">
        <w:rPr>
          <w:rFonts w:asciiTheme="minorEastAsia" w:eastAsiaTheme="minorEastAsia" w:hAnsiTheme="minorEastAsia"/>
          <w:color w:val="000000" w:themeColor="text1"/>
        </w:rPr>
        <w:t>C</w:t>
      </w:r>
      <w:r w:rsidRPr="00286323">
        <w:rPr>
          <w:rFonts w:asciiTheme="minorEastAsia" w:eastAsiaTheme="minorEastAsia" w:hAnsiTheme="minorEastAsia" w:hint="eastAsia"/>
          <w:color w:val="000000" w:themeColor="text1"/>
        </w:rPr>
        <w:t>为转换申请当日转出基金的基金份额净值；</w:t>
      </w:r>
      <w:r w:rsidRPr="00286323">
        <w:rPr>
          <w:rFonts w:asciiTheme="minorEastAsia" w:eastAsiaTheme="minorEastAsia" w:hAnsiTheme="minorEastAsia"/>
          <w:color w:val="000000" w:themeColor="text1"/>
        </w:rPr>
        <w:t>D</w:t>
      </w:r>
      <w:r w:rsidRPr="00286323">
        <w:rPr>
          <w:rFonts w:asciiTheme="minorEastAsia" w:eastAsiaTheme="minorEastAsia" w:hAnsiTheme="minorEastAsia" w:hint="eastAsia"/>
          <w:color w:val="000000" w:themeColor="text1"/>
        </w:rPr>
        <w:t>为转出基金的对应赎回费率，</w:t>
      </w:r>
      <w:r w:rsidRPr="00286323">
        <w:rPr>
          <w:rFonts w:asciiTheme="minorEastAsia" w:eastAsiaTheme="minorEastAsia" w:hAnsiTheme="minorEastAsia"/>
          <w:color w:val="000000" w:themeColor="text1"/>
        </w:rPr>
        <w:t>G</w:t>
      </w:r>
      <w:r w:rsidRPr="00286323">
        <w:rPr>
          <w:rFonts w:asciiTheme="minorEastAsia" w:eastAsiaTheme="minorEastAsia" w:hAnsiTheme="minorEastAsia" w:hint="eastAsia"/>
          <w:color w:val="000000" w:themeColor="text1"/>
        </w:rPr>
        <w:t>为对应的申购补差费率；</w:t>
      </w:r>
      <w:r w:rsidRPr="00286323">
        <w:rPr>
          <w:rFonts w:asciiTheme="minorEastAsia" w:eastAsiaTheme="minorEastAsia" w:hAnsiTheme="minorEastAsia"/>
          <w:color w:val="000000" w:themeColor="text1"/>
        </w:rPr>
        <w:t>E</w:t>
      </w:r>
      <w:r w:rsidRPr="00286323">
        <w:rPr>
          <w:rFonts w:asciiTheme="minorEastAsia" w:eastAsiaTheme="minorEastAsia" w:hAnsiTheme="minorEastAsia" w:hint="eastAsia"/>
          <w:color w:val="000000" w:themeColor="text1"/>
        </w:rPr>
        <w:t>为转换申请当日转入基金的基金份额净值；</w:t>
      </w:r>
      <w:r w:rsidR="00F46C32" w:rsidRPr="00286323">
        <w:rPr>
          <w:rFonts w:asciiTheme="minorEastAsia" w:eastAsiaTheme="minorEastAsia" w:hAnsiTheme="minorEastAsia" w:cs="宋体" w:hint="eastAsia"/>
          <w:color w:val="000000" w:themeColor="text1"/>
          <w:kern w:val="0"/>
          <w:szCs w:val="21"/>
        </w:rPr>
        <w:t>F为货币市场基金全部转出时注册登记机构已支付的未付收益</w:t>
      </w:r>
      <w:r w:rsidRPr="00286323">
        <w:rPr>
          <w:rFonts w:asciiTheme="minorEastAsia" w:eastAsiaTheme="minorEastAsia" w:hAnsiTheme="minorEastAsia" w:hint="eastAsia"/>
          <w:color w:val="000000" w:themeColor="text1"/>
        </w:rPr>
        <w:t>；H为转出基金赎回费；J为申购补差费。</w:t>
      </w:r>
    </w:p>
    <w:p w:rsidR="00F46C32" w:rsidRPr="00286323" w:rsidRDefault="00F46C32" w:rsidP="00FB0EBA">
      <w:pPr>
        <w:snapToGrid w:val="0"/>
        <w:spacing w:line="360" w:lineRule="auto"/>
        <w:ind w:firstLine="482"/>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1C7E9C" w:rsidRPr="00286323" w:rsidRDefault="001C7E9C" w:rsidP="00F71D3B">
      <w:pPr>
        <w:snapToGrid w:val="0"/>
        <w:spacing w:line="360" w:lineRule="auto"/>
        <w:ind w:firstLine="482"/>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说明：</w:t>
      </w:r>
    </w:p>
    <w:p w:rsidR="001C7E9C" w:rsidRPr="00286323" w:rsidRDefault="001C7E9C" w:rsidP="00F71D3B">
      <w:pPr>
        <w:snapToGrid w:val="0"/>
        <w:spacing w:line="360" w:lineRule="auto"/>
        <w:ind w:firstLine="482"/>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w:t>
      </w:r>
      <w:r w:rsidR="008F1AE4" w:rsidRPr="00286323">
        <w:rPr>
          <w:rFonts w:asciiTheme="minorEastAsia" w:eastAsiaTheme="minorEastAsia" w:hAnsiTheme="minorEastAsia" w:hint="eastAsia"/>
          <w:color w:val="000000" w:themeColor="text1"/>
        </w:rPr>
        <w:t>、</w:t>
      </w:r>
      <w:r w:rsidRPr="00286323">
        <w:rPr>
          <w:rFonts w:asciiTheme="minorEastAsia" w:eastAsiaTheme="minorEastAsia" w:hAnsiTheme="minorEastAsia" w:hint="eastAsia"/>
          <w:color w:val="000000" w:themeColor="text1"/>
        </w:rPr>
        <w:t>基金转换费用由转出基金赎回费用及基金申购补差费用构成。</w:t>
      </w:r>
    </w:p>
    <w:p w:rsidR="001C7E9C" w:rsidRPr="00286323" w:rsidRDefault="001C7E9C" w:rsidP="00F71D3B">
      <w:pPr>
        <w:snapToGrid w:val="0"/>
        <w:spacing w:line="360" w:lineRule="auto"/>
        <w:ind w:firstLine="482"/>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w:t>
      </w:r>
      <w:r w:rsidR="008F1AE4" w:rsidRPr="00286323">
        <w:rPr>
          <w:rFonts w:asciiTheme="minorEastAsia" w:eastAsiaTheme="minorEastAsia" w:hAnsiTheme="minorEastAsia" w:hint="eastAsia"/>
          <w:color w:val="000000" w:themeColor="text1"/>
        </w:rPr>
        <w:t>、</w:t>
      </w:r>
      <w:r w:rsidRPr="00286323">
        <w:rPr>
          <w:rFonts w:asciiTheme="minorEastAsia" w:eastAsiaTheme="minorEastAsia" w:hAnsiTheme="minorEastAsia" w:hint="eastAsia"/>
          <w:color w:val="000000" w:themeColor="text1"/>
        </w:rPr>
        <w:t>转入基金时，从申购费用低的基金向申购费用高的基金转换时，每次收取申购补差费用；从申购费用高的基金向申购费用低的基金转换时</w:t>
      </w:r>
      <w:r w:rsidRPr="00286323">
        <w:rPr>
          <w:rFonts w:asciiTheme="minorEastAsia" w:eastAsiaTheme="minorEastAsia" w:hAnsiTheme="minorEastAsia"/>
          <w:color w:val="000000" w:themeColor="text1"/>
        </w:rPr>
        <w:t>,</w:t>
      </w:r>
      <w:r w:rsidRPr="00286323">
        <w:rPr>
          <w:rFonts w:asciiTheme="minorEastAsia" w:eastAsiaTheme="minorEastAsia" w:hAnsiTheme="minorEastAsia" w:hint="eastAsia"/>
          <w:color w:val="000000" w:themeColor="text1"/>
        </w:rPr>
        <w:t>不收取申购补差费用</w:t>
      </w:r>
      <w:r w:rsidR="00C174DD" w:rsidRPr="00286323">
        <w:rPr>
          <w:rFonts w:asciiTheme="minorEastAsia" w:eastAsiaTheme="minorEastAsia" w:hAnsiTheme="minorEastAsia" w:hint="eastAsia"/>
          <w:color w:val="000000" w:themeColor="text1"/>
        </w:rPr>
        <w:t>（注：对通过直销中心申购实施差别申购费率的特定投资群体基金份额的申购费，以除通过直销中心申购的特定投资群体之外的其他投资者申购费为比较标准）</w:t>
      </w:r>
      <w:r w:rsidRPr="00286323">
        <w:rPr>
          <w:rFonts w:asciiTheme="minorEastAsia" w:eastAsiaTheme="minorEastAsia" w:hAnsiTheme="minorEastAsia" w:hint="eastAsia"/>
          <w:color w:val="000000" w:themeColor="text1"/>
        </w:rPr>
        <w:t>。申购补差费用按照转换金额对应的转出基金与转入基金的申购费率差额进行补差，具体收取情况视每次转换时两只基金的申购费率的差异情况而定并见相关公告。</w:t>
      </w:r>
    </w:p>
    <w:p w:rsidR="001C7E9C" w:rsidRPr="00286323" w:rsidRDefault="008F1AE4" w:rsidP="00F71D3B">
      <w:pPr>
        <w:snapToGrid w:val="0"/>
        <w:spacing w:line="360" w:lineRule="auto"/>
        <w:ind w:firstLine="482"/>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w:t>
      </w:r>
      <w:r w:rsidR="001C7E9C" w:rsidRPr="00286323">
        <w:rPr>
          <w:rFonts w:asciiTheme="minorEastAsia" w:eastAsiaTheme="minorEastAsia" w:hAnsiTheme="minorEastAsia" w:hint="eastAsia"/>
          <w:color w:val="000000" w:themeColor="text1"/>
        </w:rPr>
        <w:t>转出基金时，如涉及的转出基金有赎回费用，收取该基金的赎回费用。收取的赎回费按照</w:t>
      </w:r>
      <w:r w:rsidR="003E5700" w:rsidRPr="00286323">
        <w:rPr>
          <w:rFonts w:asciiTheme="minorEastAsia" w:eastAsiaTheme="minorEastAsia" w:hAnsiTheme="minorEastAsia" w:hint="eastAsia"/>
          <w:color w:val="000000" w:themeColor="text1"/>
        </w:rPr>
        <w:t>各基金</w:t>
      </w:r>
      <w:r w:rsidR="003E5700" w:rsidRPr="00286323">
        <w:rPr>
          <w:rFonts w:asciiTheme="minorEastAsia" w:eastAsiaTheme="minorEastAsia" w:hAnsiTheme="minorEastAsia"/>
          <w:color w:val="000000" w:themeColor="text1"/>
        </w:rPr>
        <w:t>的</w:t>
      </w:r>
      <w:r w:rsidR="001C7E9C" w:rsidRPr="00286323">
        <w:rPr>
          <w:rFonts w:asciiTheme="minorEastAsia" w:eastAsiaTheme="minorEastAsia" w:hAnsiTheme="minorEastAsia" w:hint="eastAsia"/>
          <w:color w:val="000000" w:themeColor="text1"/>
        </w:rPr>
        <w:t>基金合同、更新的招募说明书及最新的相关公告约定的比例归入基金财产，其余部分用于支付注册登记费等相关手续费。</w:t>
      </w:r>
    </w:p>
    <w:p w:rsidR="001C7E9C" w:rsidRPr="00286323" w:rsidRDefault="008F1AE4" w:rsidP="00F71D3B">
      <w:pPr>
        <w:snapToGrid w:val="0"/>
        <w:spacing w:line="360" w:lineRule="auto"/>
        <w:ind w:firstLine="482"/>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4、</w:t>
      </w:r>
      <w:r w:rsidR="001C7E9C" w:rsidRPr="00286323">
        <w:rPr>
          <w:rFonts w:asciiTheme="minorEastAsia" w:eastAsiaTheme="minorEastAsia" w:hAnsiTheme="minorEastAsia" w:hint="eastAsia"/>
          <w:color w:val="000000" w:themeColor="text1"/>
        </w:rPr>
        <w:t>投资者可以发起多次基金转换业务，基金转换费用按每笔申请单独计算。转换费用以人民币元为单位，计算结果按照四舍五入方法，保留小数点后两位。</w:t>
      </w:r>
    </w:p>
    <w:p w:rsidR="001C7E9C" w:rsidRPr="00286323" w:rsidRDefault="001C7E9C" w:rsidP="00F71D3B">
      <w:pPr>
        <w:snapToGrid w:val="0"/>
        <w:spacing w:line="360" w:lineRule="auto"/>
        <w:ind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举例说明</w:t>
      </w:r>
      <w:r w:rsidRPr="00286323">
        <w:rPr>
          <w:rFonts w:asciiTheme="minorEastAsia" w:eastAsiaTheme="minorEastAsia" w:hAnsiTheme="minorEastAsia"/>
          <w:color w:val="000000" w:themeColor="text1"/>
        </w:rPr>
        <w:t>：</w:t>
      </w:r>
      <w:r w:rsidRPr="00286323">
        <w:rPr>
          <w:rFonts w:asciiTheme="minorEastAsia" w:eastAsiaTheme="minorEastAsia" w:hAnsiTheme="minorEastAsia" w:hint="eastAsia"/>
          <w:color w:val="000000" w:themeColor="text1"/>
        </w:rPr>
        <w:t>假定某投资者在T日转出10,000份本基金至</w:t>
      </w:r>
      <w:r w:rsidRPr="00286323">
        <w:rPr>
          <w:rFonts w:asciiTheme="minorEastAsia" w:eastAsiaTheme="minorEastAsia" w:hAnsiTheme="minorEastAsia"/>
          <w:color w:val="000000" w:themeColor="text1"/>
        </w:rPr>
        <w:t>易方达策略成长二号混合型基金</w:t>
      </w:r>
      <w:r w:rsidRPr="00286323">
        <w:rPr>
          <w:rFonts w:asciiTheme="minorEastAsia" w:eastAsiaTheme="minorEastAsia" w:hAnsiTheme="minorEastAsia" w:hint="eastAsia"/>
          <w:color w:val="000000" w:themeColor="text1"/>
        </w:rPr>
        <w:t>份额，转出基金T日的基金份额净值为1.1000元，转入</w:t>
      </w:r>
      <w:r w:rsidRPr="00286323">
        <w:rPr>
          <w:rFonts w:asciiTheme="minorEastAsia" w:eastAsiaTheme="minorEastAsia" w:hAnsiTheme="minorEastAsia"/>
          <w:color w:val="000000" w:themeColor="text1"/>
        </w:rPr>
        <w:t>易方达策略成长二号混合型基金</w:t>
      </w:r>
      <w:r w:rsidRPr="00286323">
        <w:rPr>
          <w:rFonts w:asciiTheme="minorEastAsia" w:eastAsiaTheme="minorEastAsia" w:hAnsiTheme="minorEastAsia" w:hint="eastAsia"/>
          <w:color w:val="000000" w:themeColor="text1"/>
        </w:rPr>
        <w:t>T日的基金份额净值为1.020</w:t>
      </w:r>
      <w:r w:rsidR="00B2514D" w:rsidRPr="00286323">
        <w:rPr>
          <w:rFonts w:asciiTheme="minorEastAsia" w:eastAsiaTheme="minorEastAsia" w:hAnsiTheme="minorEastAsia" w:hint="eastAsia"/>
          <w:color w:val="000000" w:themeColor="text1"/>
        </w:rPr>
        <w:t>0</w:t>
      </w:r>
      <w:r w:rsidRPr="00286323">
        <w:rPr>
          <w:rFonts w:asciiTheme="minorEastAsia" w:eastAsiaTheme="minorEastAsia" w:hAnsiTheme="minorEastAsia" w:hint="eastAsia"/>
          <w:color w:val="000000" w:themeColor="text1"/>
        </w:rPr>
        <w:t>元，假设该转出基金的赎回费率为0.5%，申购补差费率为0.</w:t>
      </w:r>
      <w:r w:rsidR="00853B92" w:rsidRPr="00286323">
        <w:rPr>
          <w:rFonts w:asciiTheme="minorEastAsia" w:eastAsiaTheme="minorEastAsia" w:hAnsiTheme="minorEastAsia" w:hint="eastAsia"/>
          <w:color w:val="000000" w:themeColor="text1"/>
        </w:rPr>
        <w:t>5</w:t>
      </w:r>
      <w:r w:rsidRPr="00286323">
        <w:rPr>
          <w:rFonts w:asciiTheme="minorEastAsia" w:eastAsiaTheme="minorEastAsia" w:hAnsiTheme="minorEastAsia" w:hint="eastAsia"/>
          <w:color w:val="000000" w:themeColor="text1"/>
        </w:rPr>
        <w:t>%，则可获得转入基金的</w:t>
      </w:r>
      <w:r w:rsidRPr="00286323">
        <w:rPr>
          <w:rFonts w:asciiTheme="minorEastAsia" w:eastAsiaTheme="minorEastAsia" w:hAnsiTheme="minorEastAsia"/>
          <w:color w:val="000000" w:themeColor="text1"/>
        </w:rPr>
        <w:t>易方达策略成长二号混合型基金</w:t>
      </w:r>
      <w:r w:rsidRPr="00286323">
        <w:rPr>
          <w:rFonts w:asciiTheme="minorEastAsia" w:eastAsiaTheme="minorEastAsia" w:hAnsiTheme="minorEastAsia" w:hint="eastAsia"/>
          <w:color w:val="000000" w:themeColor="text1"/>
        </w:rPr>
        <w:t>基金份额计算如下：</w:t>
      </w:r>
    </w:p>
    <w:p w:rsidR="001C7E9C" w:rsidRPr="00286323" w:rsidRDefault="001C7E9C" w:rsidP="00F71D3B">
      <w:pPr>
        <w:snapToGrid w:val="0"/>
        <w:spacing w:line="360" w:lineRule="auto"/>
        <w:ind w:firstLine="420"/>
        <w:rPr>
          <w:rFonts w:asciiTheme="minorEastAsia" w:eastAsiaTheme="minorEastAsia" w:hAnsiTheme="minorEastAsia"/>
          <w:color w:val="000000" w:themeColor="text1"/>
          <w:szCs w:val="20"/>
        </w:rPr>
      </w:pPr>
      <w:r w:rsidRPr="00286323">
        <w:rPr>
          <w:rFonts w:asciiTheme="minorEastAsia" w:eastAsiaTheme="minorEastAsia" w:hAnsiTheme="minorEastAsia" w:hint="eastAsia"/>
          <w:color w:val="000000" w:themeColor="text1"/>
          <w:szCs w:val="20"/>
        </w:rPr>
        <w:t>转换</w:t>
      </w:r>
      <w:r w:rsidRPr="00286323">
        <w:rPr>
          <w:rFonts w:asciiTheme="minorEastAsia" w:eastAsiaTheme="minorEastAsia" w:hAnsiTheme="minorEastAsia"/>
          <w:color w:val="000000" w:themeColor="text1"/>
          <w:szCs w:val="20"/>
        </w:rPr>
        <w:t>金额＝转出基金申请份额×转出基金份额净值=10</w:t>
      </w:r>
      <w:r w:rsidRPr="00286323">
        <w:rPr>
          <w:rFonts w:asciiTheme="minorEastAsia" w:eastAsiaTheme="minorEastAsia" w:hAnsiTheme="minorEastAsia" w:hint="eastAsia"/>
          <w:color w:val="000000" w:themeColor="text1"/>
          <w:szCs w:val="20"/>
        </w:rPr>
        <w:t>,</w:t>
      </w:r>
      <w:r w:rsidRPr="00286323">
        <w:rPr>
          <w:rFonts w:asciiTheme="minorEastAsia" w:eastAsiaTheme="minorEastAsia" w:hAnsiTheme="minorEastAsia"/>
          <w:color w:val="000000" w:themeColor="text1"/>
          <w:szCs w:val="20"/>
        </w:rPr>
        <w:t>000×1</w:t>
      </w:r>
      <w:r w:rsidRPr="00286323">
        <w:rPr>
          <w:rFonts w:asciiTheme="minorEastAsia" w:eastAsiaTheme="minorEastAsia" w:hAnsiTheme="minorEastAsia" w:hint="eastAsia"/>
          <w:color w:val="000000" w:themeColor="text1"/>
          <w:szCs w:val="20"/>
        </w:rPr>
        <w:t>.1000</w:t>
      </w:r>
      <w:r w:rsidRPr="00286323">
        <w:rPr>
          <w:rFonts w:asciiTheme="minorEastAsia" w:eastAsiaTheme="minorEastAsia" w:hAnsiTheme="minorEastAsia"/>
          <w:color w:val="000000" w:themeColor="text1"/>
          <w:szCs w:val="20"/>
        </w:rPr>
        <w:t>＝1</w:t>
      </w:r>
      <w:r w:rsidRPr="00286323">
        <w:rPr>
          <w:rFonts w:asciiTheme="minorEastAsia" w:eastAsiaTheme="minorEastAsia" w:hAnsiTheme="minorEastAsia" w:hint="eastAsia"/>
          <w:color w:val="000000" w:themeColor="text1"/>
          <w:szCs w:val="20"/>
        </w:rPr>
        <w:t>1,</w:t>
      </w:r>
      <w:r w:rsidRPr="00286323">
        <w:rPr>
          <w:rFonts w:asciiTheme="minorEastAsia" w:eastAsiaTheme="minorEastAsia" w:hAnsiTheme="minorEastAsia"/>
          <w:color w:val="000000" w:themeColor="text1"/>
          <w:szCs w:val="20"/>
        </w:rPr>
        <w:t>000</w:t>
      </w:r>
      <w:r w:rsidRPr="00286323">
        <w:rPr>
          <w:rFonts w:asciiTheme="minorEastAsia" w:eastAsiaTheme="minorEastAsia" w:hAnsiTheme="minorEastAsia" w:hint="eastAsia"/>
          <w:color w:val="000000" w:themeColor="text1"/>
          <w:szCs w:val="20"/>
        </w:rPr>
        <w:t>.00</w:t>
      </w:r>
      <w:r w:rsidRPr="00286323">
        <w:rPr>
          <w:rFonts w:asciiTheme="minorEastAsia" w:eastAsiaTheme="minorEastAsia" w:hAnsiTheme="minorEastAsia"/>
          <w:color w:val="000000" w:themeColor="text1"/>
          <w:szCs w:val="20"/>
        </w:rPr>
        <w:t>元</w:t>
      </w:r>
    </w:p>
    <w:p w:rsidR="001C7E9C" w:rsidRPr="00286323" w:rsidRDefault="001C7E9C" w:rsidP="00F71D3B">
      <w:pPr>
        <w:snapToGrid w:val="0"/>
        <w:spacing w:line="360" w:lineRule="auto"/>
        <w:ind w:firstLine="420"/>
        <w:rPr>
          <w:rFonts w:asciiTheme="minorEastAsia" w:eastAsiaTheme="minorEastAsia" w:hAnsiTheme="minorEastAsia"/>
          <w:color w:val="000000" w:themeColor="text1"/>
          <w:szCs w:val="20"/>
        </w:rPr>
      </w:pPr>
      <w:r w:rsidRPr="00286323">
        <w:rPr>
          <w:rFonts w:asciiTheme="minorEastAsia" w:eastAsiaTheme="minorEastAsia" w:hAnsiTheme="minorEastAsia" w:hint="eastAsia"/>
          <w:color w:val="000000" w:themeColor="text1"/>
          <w:szCs w:val="20"/>
        </w:rPr>
        <w:t>转出基金</w:t>
      </w:r>
      <w:r w:rsidRPr="00286323">
        <w:rPr>
          <w:rFonts w:asciiTheme="minorEastAsia" w:eastAsiaTheme="minorEastAsia" w:hAnsiTheme="minorEastAsia"/>
          <w:color w:val="000000" w:themeColor="text1"/>
          <w:szCs w:val="20"/>
        </w:rPr>
        <w:t>赎回费＝</w:t>
      </w:r>
      <w:r w:rsidRPr="00286323">
        <w:rPr>
          <w:rFonts w:asciiTheme="minorEastAsia" w:eastAsiaTheme="minorEastAsia" w:hAnsiTheme="minorEastAsia" w:hint="eastAsia"/>
          <w:color w:val="000000" w:themeColor="text1"/>
          <w:szCs w:val="20"/>
        </w:rPr>
        <w:t>转换</w:t>
      </w:r>
      <w:r w:rsidRPr="00286323">
        <w:rPr>
          <w:rFonts w:asciiTheme="minorEastAsia" w:eastAsiaTheme="minorEastAsia" w:hAnsiTheme="minorEastAsia"/>
          <w:color w:val="000000" w:themeColor="text1"/>
          <w:szCs w:val="20"/>
        </w:rPr>
        <w:t>金额×</w:t>
      </w:r>
      <w:r w:rsidRPr="00286323">
        <w:rPr>
          <w:rFonts w:asciiTheme="minorEastAsia" w:eastAsiaTheme="minorEastAsia" w:hAnsiTheme="minorEastAsia" w:hint="eastAsia"/>
          <w:color w:val="000000" w:themeColor="text1"/>
          <w:szCs w:val="20"/>
        </w:rPr>
        <w:t>转出基金</w:t>
      </w:r>
      <w:r w:rsidRPr="00286323">
        <w:rPr>
          <w:rFonts w:asciiTheme="minorEastAsia" w:eastAsiaTheme="minorEastAsia" w:hAnsiTheme="minorEastAsia"/>
          <w:color w:val="000000" w:themeColor="text1"/>
          <w:szCs w:val="20"/>
        </w:rPr>
        <w:t>赎回费率</w:t>
      </w:r>
      <w:r w:rsidRPr="00286323">
        <w:rPr>
          <w:rFonts w:asciiTheme="minorEastAsia" w:eastAsiaTheme="minorEastAsia" w:hAnsiTheme="minorEastAsia" w:hint="eastAsia"/>
          <w:color w:val="000000" w:themeColor="text1"/>
          <w:szCs w:val="20"/>
        </w:rPr>
        <w:t>=</w:t>
      </w:r>
      <w:r w:rsidRPr="00286323">
        <w:rPr>
          <w:rFonts w:asciiTheme="minorEastAsia" w:eastAsiaTheme="minorEastAsia" w:hAnsiTheme="minorEastAsia"/>
          <w:color w:val="000000" w:themeColor="text1"/>
          <w:szCs w:val="20"/>
        </w:rPr>
        <w:t>1</w:t>
      </w:r>
      <w:r w:rsidRPr="00286323">
        <w:rPr>
          <w:rFonts w:asciiTheme="minorEastAsia" w:eastAsiaTheme="minorEastAsia" w:hAnsiTheme="minorEastAsia" w:hint="eastAsia"/>
          <w:color w:val="000000" w:themeColor="text1"/>
          <w:szCs w:val="20"/>
        </w:rPr>
        <w:t>1,</w:t>
      </w:r>
      <w:r w:rsidRPr="00286323">
        <w:rPr>
          <w:rFonts w:asciiTheme="minorEastAsia" w:eastAsiaTheme="minorEastAsia" w:hAnsiTheme="minorEastAsia"/>
          <w:color w:val="000000" w:themeColor="text1"/>
          <w:szCs w:val="20"/>
        </w:rPr>
        <w:t>000</w:t>
      </w:r>
      <w:r w:rsidRPr="00286323">
        <w:rPr>
          <w:rFonts w:asciiTheme="minorEastAsia" w:eastAsiaTheme="minorEastAsia" w:hAnsiTheme="minorEastAsia" w:hint="eastAsia"/>
          <w:color w:val="000000" w:themeColor="text1"/>
          <w:szCs w:val="20"/>
        </w:rPr>
        <w:t>.00</w:t>
      </w:r>
      <w:r w:rsidRPr="00286323">
        <w:rPr>
          <w:rFonts w:asciiTheme="minorEastAsia" w:eastAsiaTheme="minorEastAsia" w:hAnsiTheme="minorEastAsia"/>
          <w:color w:val="000000" w:themeColor="text1"/>
          <w:szCs w:val="20"/>
        </w:rPr>
        <w:t>×</w:t>
      </w:r>
      <w:r w:rsidRPr="00286323">
        <w:rPr>
          <w:rFonts w:asciiTheme="minorEastAsia" w:eastAsiaTheme="minorEastAsia" w:hAnsiTheme="minorEastAsia" w:hint="eastAsia"/>
          <w:color w:val="000000" w:themeColor="text1"/>
          <w:szCs w:val="20"/>
        </w:rPr>
        <w:t>0.5%=55.00元</w:t>
      </w:r>
    </w:p>
    <w:p w:rsidR="001C7E9C" w:rsidRPr="00286323" w:rsidRDefault="001C7E9C" w:rsidP="00F71D3B">
      <w:pPr>
        <w:snapToGrid w:val="0"/>
        <w:spacing w:line="360" w:lineRule="auto"/>
        <w:ind w:firstLine="420"/>
        <w:rPr>
          <w:rFonts w:asciiTheme="minorEastAsia" w:eastAsiaTheme="minorEastAsia" w:hAnsiTheme="minorEastAsia"/>
          <w:color w:val="000000" w:themeColor="text1"/>
          <w:szCs w:val="20"/>
        </w:rPr>
      </w:pPr>
      <w:r w:rsidRPr="00286323">
        <w:rPr>
          <w:rFonts w:asciiTheme="minorEastAsia" w:eastAsiaTheme="minorEastAsia" w:hAnsiTheme="minorEastAsia" w:hint="eastAsia"/>
          <w:color w:val="000000" w:themeColor="text1"/>
          <w:szCs w:val="20"/>
        </w:rPr>
        <w:t>申购</w:t>
      </w:r>
      <w:r w:rsidRPr="00286323">
        <w:rPr>
          <w:rFonts w:asciiTheme="minorEastAsia" w:eastAsiaTheme="minorEastAsia" w:hAnsiTheme="minorEastAsia"/>
          <w:color w:val="000000" w:themeColor="text1"/>
          <w:szCs w:val="20"/>
        </w:rPr>
        <w:t>补差费</w:t>
      </w:r>
      <w:r w:rsidRPr="00286323">
        <w:rPr>
          <w:rFonts w:asciiTheme="minorEastAsia" w:eastAsiaTheme="minorEastAsia" w:hAnsiTheme="minorEastAsia" w:hint="eastAsia"/>
          <w:color w:val="000000" w:themeColor="text1"/>
          <w:szCs w:val="20"/>
        </w:rPr>
        <w:t>=（转换</w:t>
      </w:r>
      <w:r w:rsidRPr="00286323">
        <w:rPr>
          <w:rFonts w:asciiTheme="minorEastAsia" w:eastAsiaTheme="minorEastAsia" w:hAnsiTheme="minorEastAsia"/>
          <w:color w:val="000000" w:themeColor="text1"/>
          <w:szCs w:val="20"/>
        </w:rPr>
        <w:t>金额</w:t>
      </w:r>
      <w:r w:rsidRPr="00286323">
        <w:rPr>
          <w:rFonts w:asciiTheme="minorEastAsia" w:eastAsiaTheme="minorEastAsia" w:hAnsiTheme="minorEastAsia" w:hint="eastAsia"/>
          <w:color w:val="000000" w:themeColor="text1"/>
          <w:szCs w:val="20"/>
        </w:rPr>
        <w:t>—转出基金</w:t>
      </w:r>
      <w:r w:rsidRPr="00286323">
        <w:rPr>
          <w:rFonts w:asciiTheme="minorEastAsia" w:eastAsiaTheme="minorEastAsia" w:hAnsiTheme="minorEastAsia"/>
          <w:color w:val="000000" w:themeColor="text1"/>
          <w:szCs w:val="20"/>
        </w:rPr>
        <w:t>赎回费</w:t>
      </w:r>
      <w:r w:rsidRPr="00286323">
        <w:rPr>
          <w:rFonts w:asciiTheme="minorEastAsia" w:eastAsiaTheme="minorEastAsia" w:hAnsiTheme="minorEastAsia" w:hint="eastAsia"/>
          <w:color w:val="000000" w:themeColor="text1"/>
          <w:szCs w:val="20"/>
        </w:rPr>
        <w:t>）</w:t>
      </w:r>
      <w:r w:rsidRPr="00286323">
        <w:rPr>
          <w:rFonts w:asciiTheme="minorEastAsia" w:eastAsiaTheme="minorEastAsia" w:hAnsiTheme="minorEastAsia"/>
          <w:color w:val="000000" w:themeColor="text1"/>
          <w:szCs w:val="20"/>
        </w:rPr>
        <w:t>×</w:t>
      </w:r>
      <w:r w:rsidRPr="00286323">
        <w:rPr>
          <w:rFonts w:asciiTheme="minorEastAsia" w:eastAsiaTheme="minorEastAsia" w:hAnsiTheme="minorEastAsia" w:hint="eastAsia"/>
          <w:color w:val="000000" w:themeColor="text1"/>
          <w:szCs w:val="20"/>
        </w:rPr>
        <w:t>申购</w:t>
      </w:r>
      <w:r w:rsidRPr="00286323">
        <w:rPr>
          <w:rFonts w:asciiTheme="minorEastAsia" w:eastAsiaTheme="minorEastAsia" w:hAnsiTheme="minorEastAsia"/>
          <w:color w:val="000000" w:themeColor="text1"/>
          <w:szCs w:val="20"/>
        </w:rPr>
        <w:t>补差费率÷（</w:t>
      </w:r>
      <w:r w:rsidR="00726B4E" w:rsidRPr="00286323">
        <w:rPr>
          <w:rFonts w:asciiTheme="minorEastAsia" w:eastAsiaTheme="minorEastAsia" w:hAnsiTheme="minorEastAsia" w:hint="eastAsia"/>
          <w:color w:val="000000" w:themeColor="text1"/>
          <w:szCs w:val="20"/>
        </w:rPr>
        <w:t>1</w:t>
      </w:r>
      <w:r w:rsidRPr="00286323">
        <w:rPr>
          <w:rFonts w:asciiTheme="minorEastAsia" w:eastAsiaTheme="minorEastAsia" w:hAnsiTheme="minorEastAsia"/>
          <w:color w:val="000000" w:themeColor="text1"/>
          <w:szCs w:val="20"/>
        </w:rPr>
        <w:t>＋</w:t>
      </w:r>
      <w:r w:rsidRPr="00286323">
        <w:rPr>
          <w:rFonts w:asciiTheme="minorEastAsia" w:eastAsiaTheme="minorEastAsia" w:hAnsiTheme="minorEastAsia" w:hint="eastAsia"/>
          <w:color w:val="000000" w:themeColor="text1"/>
          <w:szCs w:val="20"/>
        </w:rPr>
        <w:t>申购</w:t>
      </w:r>
      <w:r w:rsidRPr="00286323">
        <w:rPr>
          <w:rFonts w:asciiTheme="minorEastAsia" w:eastAsiaTheme="minorEastAsia" w:hAnsiTheme="minorEastAsia"/>
          <w:color w:val="000000" w:themeColor="text1"/>
          <w:szCs w:val="20"/>
        </w:rPr>
        <w:t>补差费率）</w:t>
      </w:r>
      <w:r w:rsidRPr="00286323">
        <w:rPr>
          <w:rFonts w:asciiTheme="minorEastAsia" w:eastAsiaTheme="minorEastAsia" w:hAnsiTheme="minorEastAsia" w:hint="eastAsia"/>
          <w:color w:val="000000" w:themeColor="text1"/>
          <w:szCs w:val="20"/>
        </w:rPr>
        <w:t>=（</w:t>
      </w:r>
      <w:r w:rsidRPr="00286323">
        <w:rPr>
          <w:rFonts w:asciiTheme="minorEastAsia" w:eastAsiaTheme="minorEastAsia" w:hAnsiTheme="minorEastAsia"/>
          <w:color w:val="000000" w:themeColor="text1"/>
          <w:szCs w:val="20"/>
        </w:rPr>
        <w:t>1</w:t>
      </w:r>
      <w:r w:rsidRPr="00286323">
        <w:rPr>
          <w:rFonts w:asciiTheme="minorEastAsia" w:eastAsiaTheme="minorEastAsia" w:hAnsiTheme="minorEastAsia" w:hint="eastAsia"/>
          <w:color w:val="000000" w:themeColor="text1"/>
          <w:szCs w:val="20"/>
        </w:rPr>
        <w:t>1,</w:t>
      </w:r>
      <w:r w:rsidRPr="00286323">
        <w:rPr>
          <w:rFonts w:asciiTheme="minorEastAsia" w:eastAsiaTheme="minorEastAsia" w:hAnsiTheme="minorEastAsia"/>
          <w:color w:val="000000" w:themeColor="text1"/>
          <w:szCs w:val="20"/>
        </w:rPr>
        <w:t>000</w:t>
      </w:r>
      <w:r w:rsidRPr="00286323">
        <w:rPr>
          <w:rFonts w:asciiTheme="minorEastAsia" w:eastAsiaTheme="minorEastAsia" w:hAnsiTheme="minorEastAsia" w:hint="eastAsia"/>
          <w:color w:val="000000" w:themeColor="text1"/>
          <w:szCs w:val="20"/>
        </w:rPr>
        <w:t>.00-55.00）</w:t>
      </w:r>
      <w:r w:rsidRPr="00286323">
        <w:rPr>
          <w:rFonts w:asciiTheme="minorEastAsia" w:eastAsiaTheme="minorEastAsia" w:hAnsiTheme="minorEastAsia"/>
          <w:color w:val="000000" w:themeColor="text1"/>
          <w:szCs w:val="20"/>
        </w:rPr>
        <w:t>×</w:t>
      </w:r>
      <w:r w:rsidRPr="00286323">
        <w:rPr>
          <w:rFonts w:asciiTheme="minorEastAsia" w:eastAsiaTheme="minorEastAsia" w:hAnsiTheme="minorEastAsia" w:hint="eastAsia"/>
          <w:color w:val="000000" w:themeColor="text1"/>
          <w:szCs w:val="20"/>
        </w:rPr>
        <w:t>0.</w:t>
      </w:r>
      <w:r w:rsidR="00853B92" w:rsidRPr="00286323">
        <w:rPr>
          <w:rFonts w:asciiTheme="minorEastAsia" w:eastAsiaTheme="minorEastAsia" w:hAnsiTheme="minorEastAsia" w:hint="eastAsia"/>
          <w:color w:val="000000" w:themeColor="text1"/>
        </w:rPr>
        <w:t>5</w:t>
      </w:r>
      <w:r w:rsidRPr="00286323">
        <w:rPr>
          <w:rFonts w:asciiTheme="minorEastAsia" w:eastAsiaTheme="minorEastAsia" w:hAnsiTheme="minorEastAsia" w:hint="eastAsia"/>
          <w:color w:val="000000" w:themeColor="text1"/>
          <w:szCs w:val="20"/>
        </w:rPr>
        <w:t>%</w:t>
      </w:r>
      <w:r w:rsidRPr="00286323">
        <w:rPr>
          <w:rFonts w:asciiTheme="minorEastAsia" w:eastAsiaTheme="minorEastAsia" w:hAnsiTheme="minorEastAsia"/>
          <w:color w:val="000000" w:themeColor="text1"/>
          <w:szCs w:val="20"/>
        </w:rPr>
        <w:t>÷</w:t>
      </w:r>
      <w:r w:rsidRPr="00286323">
        <w:rPr>
          <w:rFonts w:asciiTheme="minorEastAsia" w:eastAsiaTheme="minorEastAsia" w:hAnsiTheme="minorEastAsia" w:hint="eastAsia"/>
          <w:color w:val="000000" w:themeColor="text1"/>
          <w:szCs w:val="20"/>
        </w:rPr>
        <w:t>(1+0.</w:t>
      </w:r>
      <w:r w:rsidR="00853B92" w:rsidRPr="00286323">
        <w:rPr>
          <w:rFonts w:asciiTheme="minorEastAsia" w:eastAsiaTheme="minorEastAsia" w:hAnsiTheme="minorEastAsia" w:hint="eastAsia"/>
          <w:color w:val="000000" w:themeColor="text1"/>
        </w:rPr>
        <w:t>5</w:t>
      </w:r>
      <w:r w:rsidRPr="00286323">
        <w:rPr>
          <w:rFonts w:asciiTheme="minorEastAsia" w:eastAsiaTheme="minorEastAsia" w:hAnsiTheme="minorEastAsia" w:hint="eastAsia"/>
          <w:color w:val="000000" w:themeColor="text1"/>
          <w:szCs w:val="20"/>
        </w:rPr>
        <w:t>%)=</w:t>
      </w:r>
      <w:r w:rsidR="005F2BDB" w:rsidRPr="00286323">
        <w:rPr>
          <w:rFonts w:asciiTheme="minorEastAsia" w:eastAsiaTheme="minorEastAsia" w:hAnsiTheme="minorEastAsia" w:hint="eastAsia"/>
          <w:color w:val="000000" w:themeColor="text1"/>
        </w:rPr>
        <w:t>54.45</w:t>
      </w:r>
      <w:r w:rsidRPr="00286323">
        <w:rPr>
          <w:rFonts w:asciiTheme="minorEastAsia" w:eastAsiaTheme="minorEastAsia" w:hAnsiTheme="minorEastAsia" w:hint="eastAsia"/>
          <w:color w:val="000000" w:themeColor="text1"/>
          <w:szCs w:val="20"/>
        </w:rPr>
        <w:t>元</w:t>
      </w:r>
    </w:p>
    <w:p w:rsidR="001C7E9C" w:rsidRPr="00286323" w:rsidRDefault="001C7E9C" w:rsidP="00F71D3B">
      <w:pPr>
        <w:snapToGrid w:val="0"/>
        <w:spacing w:line="360" w:lineRule="auto"/>
        <w:ind w:firstLine="420"/>
        <w:rPr>
          <w:rFonts w:asciiTheme="minorEastAsia" w:eastAsiaTheme="minorEastAsia" w:hAnsiTheme="minorEastAsia"/>
          <w:color w:val="000000" w:themeColor="text1"/>
          <w:szCs w:val="20"/>
        </w:rPr>
      </w:pPr>
      <w:r w:rsidRPr="00286323">
        <w:rPr>
          <w:rFonts w:asciiTheme="minorEastAsia" w:eastAsiaTheme="minorEastAsia" w:hAnsiTheme="minorEastAsia"/>
          <w:color w:val="000000" w:themeColor="text1"/>
          <w:szCs w:val="20"/>
        </w:rPr>
        <w:t>转换费＝转出基金赎回费+申购补差费=</w:t>
      </w:r>
      <w:r w:rsidRPr="00286323">
        <w:rPr>
          <w:rFonts w:asciiTheme="minorEastAsia" w:eastAsiaTheme="minorEastAsia" w:hAnsiTheme="minorEastAsia" w:hint="eastAsia"/>
          <w:color w:val="000000" w:themeColor="text1"/>
          <w:szCs w:val="20"/>
        </w:rPr>
        <w:t>55.00</w:t>
      </w:r>
      <w:r w:rsidRPr="00286323">
        <w:rPr>
          <w:rFonts w:asciiTheme="minorEastAsia" w:eastAsiaTheme="minorEastAsia" w:hAnsiTheme="minorEastAsia"/>
          <w:color w:val="000000" w:themeColor="text1"/>
          <w:szCs w:val="20"/>
        </w:rPr>
        <w:t>+</w:t>
      </w:r>
      <w:r w:rsidR="005F2BDB" w:rsidRPr="00286323">
        <w:rPr>
          <w:rFonts w:asciiTheme="minorEastAsia" w:eastAsiaTheme="minorEastAsia" w:hAnsiTheme="minorEastAsia" w:hint="eastAsia"/>
          <w:color w:val="000000" w:themeColor="text1"/>
        </w:rPr>
        <w:t>54.45</w:t>
      </w:r>
      <w:r w:rsidRPr="00286323">
        <w:rPr>
          <w:rFonts w:asciiTheme="minorEastAsia" w:eastAsiaTheme="minorEastAsia" w:hAnsiTheme="minorEastAsia"/>
          <w:color w:val="000000" w:themeColor="text1"/>
          <w:szCs w:val="20"/>
        </w:rPr>
        <w:t>＝</w:t>
      </w:r>
      <w:r w:rsidRPr="00286323">
        <w:rPr>
          <w:rFonts w:asciiTheme="minorEastAsia" w:eastAsiaTheme="minorEastAsia" w:hAnsiTheme="minorEastAsia" w:hint="eastAsia"/>
          <w:color w:val="000000" w:themeColor="text1"/>
        </w:rPr>
        <w:t>1</w:t>
      </w:r>
      <w:r w:rsidR="005F2BDB" w:rsidRPr="00286323">
        <w:rPr>
          <w:rFonts w:asciiTheme="minorEastAsia" w:eastAsiaTheme="minorEastAsia" w:hAnsiTheme="minorEastAsia" w:hint="eastAsia"/>
          <w:color w:val="000000" w:themeColor="text1"/>
        </w:rPr>
        <w:t>09.45</w:t>
      </w:r>
      <w:r w:rsidRPr="00286323">
        <w:rPr>
          <w:rFonts w:asciiTheme="minorEastAsia" w:eastAsiaTheme="minorEastAsia" w:hAnsiTheme="minorEastAsia" w:hint="eastAsia"/>
          <w:color w:val="000000" w:themeColor="text1"/>
          <w:szCs w:val="20"/>
        </w:rPr>
        <w:t>元</w:t>
      </w:r>
    </w:p>
    <w:p w:rsidR="001C7E9C" w:rsidRPr="00286323" w:rsidRDefault="001C7E9C" w:rsidP="00F71D3B">
      <w:pPr>
        <w:snapToGrid w:val="0"/>
        <w:spacing w:line="360" w:lineRule="auto"/>
        <w:ind w:firstLine="420"/>
        <w:rPr>
          <w:rFonts w:asciiTheme="minorEastAsia" w:eastAsiaTheme="minorEastAsia" w:hAnsiTheme="minorEastAsia"/>
          <w:color w:val="000000" w:themeColor="text1"/>
          <w:szCs w:val="20"/>
        </w:rPr>
      </w:pPr>
      <w:r w:rsidRPr="00286323">
        <w:rPr>
          <w:rFonts w:asciiTheme="minorEastAsia" w:eastAsiaTheme="minorEastAsia" w:hAnsiTheme="minorEastAsia" w:hint="eastAsia"/>
          <w:color w:val="000000" w:themeColor="text1"/>
          <w:szCs w:val="20"/>
        </w:rPr>
        <w:t>转入金额=转换</w:t>
      </w:r>
      <w:r w:rsidRPr="00286323">
        <w:rPr>
          <w:rFonts w:asciiTheme="minorEastAsia" w:eastAsiaTheme="minorEastAsia" w:hAnsiTheme="minorEastAsia"/>
          <w:color w:val="000000" w:themeColor="text1"/>
          <w:szCs w:val="20"/>
        </w:rPr>
        <w:t>金额</w:t>
      </w:r>
      <w:r w:rsidRPr="00286323">
        <w:rPr>
          <w:rFonts w:asciiTheme="minorEastAsia" w:eastAsiaTheme="minorEastAsia" w:hAnsiTheme="minorEastAsia" w:hint="eastAsia"/>
          <w:color w:val="000000" w:themeColor="text1"/>
          <w:szCs w:val="20"/>
        </w:rPr>
        <w:t>—</w:t>
      </w:r>
      <w:r w:rsidRPr="00286323">
        <w:rPr>
          <w:rFonts w:asciiTheme="minorEastAsia" w:eastAsiaTheme="minorEastAsia" w:hAnsiTheme="minorEastAsia"/>
          <w:color w:val="000000" w:themeColor="text1"/>
          <w:szCs w:val="20"/>
        </w:rPr>
        <w:t>转换费</w:t>
      </w:r>
      <w:r w:rsidRPr="00286323">
        <w:rPr>
          <w:rFonts w:asciiTheme="minorEastAsia" w:eastAsiaTheme="minorEastAsia" w:hAnsiTheme="minorEastAsia" w:hint="eastAsia"/>
          <w:color w:val="000000" w:themeColor="text1"/>
          <w:szCs w:val="20"/>
        </w:rPr>
        <w:t>=</w:t>
      </w:r>
      <w:r w:rsidRPr="00286323">
        <w:rPr>
          <w:rFonts w:asciiTheme="minorEastAsia" w:eastAsiaTheme="minorEastAsia" w:hAnsiTheme="minorEastAsia"/>
          <w:color w:val="000000" w:themeColor="text1"/>
          <w:szCs w:val="20"/>
        </w:rPr>
        <w:t>1</w:t>
      </w:r>
      <w:r w:rsidRPr="00286323">
        <w:rPr>
          <w:rFonts w:asciiTheme="minorEastAsia" w:eastAsiaTheme="minorEastAsia" w:hAnsiTheme="minorEastAsia" w:hint="eastAsia"/>
          <w:color w:val="000000" w:themeColor="text1"/>
          <w:szCs w:val="20"/>
        </w:rPr>
        <w:t>1</w:t>
      </w:r>
      <w:r w:rsidRPr="00286323">
        <w:rPr>
          <w:rFonts w:asciiTheme="minorEastAsia" w:eastAsiaTheme="minorEastAsia" w:hAnsiTheme="minorEastAsia" w:hint="eastAsia"/>
          <w:color w:val="000000" w:themeColor="text1"/>
        </w:rPr>
        <w:t>,</w:t>
      </w:r>
      <w:r w:rsidRPr="00286323">
        <w:rPr>
          <w:rFonts w:asciiTheme="minorEastAsia" w:eastAsiaTheme="minorEastAsia" w:hAnsiTheme="minorEastAsia"/>
          <w:color w:val="000000" w:themeColor="text1"/>
          <w:szCs w:val="20"/>
        </w:rPr>
        <w:t>000</w:t>
      </w:r>
      <w:r w:rsidRPr="00286323">
        <w:rPr>
          <w:rFonts w:asciiTheme="minorEastAsia" w:eastAsiaTheme="minorEastAsia" w:hAnsiTheme="minorEastAsia" w:hint="eastAsia"/>
          <w:color w:val="000000" w:themeColor="text1"/>
          <w:szCs w:val="20"/>
        </w:rPr>
        <w:t>.00</w:t>
      </w:r>
      <w:r w:rsidRPr="00286323">
        <w:rPr>
          <w:rFonts w:asciiTheme="minorEastAsia" w:eastAsiaTheme="minorEastAsia" w:hAnsiTheme="minorEastAsia" w:hint="eastAsia"/>
          <w:color w:val="000000" w:themeColor="text1"/>
        </w:rPr>
        <w:t>-</w:t>
      </w:r>
      <w:r w:rsidR="005F2BDB" w:rsidRPr="00286323">
        <w:rPr>
          <w:rFonts w:asciiTheme="minorEastAsia" w:eastAsiaTheme="minorEastAsia" w:hAnsiTheme="minorEastAsia" w:hint="eastAsia"/>
          <w:color w:val="000000" w:themeColor="text1"/>
        </w:rPr>
        <w:t>109.45</w:t>
      </w:r>
      <w:r w:rsidRPr="00286323">
        <w:rPr>
          <w:rFonts w:asciiTheme="minorEastAsia" w:eastAsiaTheme="minorEastAsia" w:hAnsiTheme="minorEastAsia" w:hint="eastAsia"/>
          <w:color w:val="000000" w:themeColor="text1"/>
          <w:szCs w:val="20"/>
        </w:rPr>
        <w:t>=10,</w:t>
      </w:r>
      <w:r w:rsidR="005F2BDB" w:rsidRPr="00286323">
        <w:rPr>
          <w:rFonts w:asciiTheme="minorEastAsia" w:eastAsiaTheme="minorEastAsia" w:hAnsiTheme="minorEastAsia" w:hint="eastAsia"/>
          <w:color w:val="000000" w:themeColor="text1"/>
          <w:szCs w:val="20"/>
        </w:rPr>
        <w:t>890</w:t>
      </w:r>
      <w:r w:rsidRPr="00286323">
        <w:rPr>
          <w:rFonts w:asciiTheme="minorEastAsia" w:eastAsiaTheme="minorEastAsia" w:hAnsiTheme="minorEastAsia" w:hint="eastAsia"/>
          <w:color w:val="000000" w:themeColor="text1"/>
          <w:szCs w:val="20"/>
        </w:rPr>
        <w:t>.</w:t>
      </w:r>
      <w:r w:rsidR="005F2BDB" w:rsidRPr="00286323">
        <w:rPr>
          <w:rFonts w:asciiTheme="minorEastAsia" w:eastAsiaTheme="minorEastAsia" w:hAnsiTheme="minorEastAsia" w:hint="eastAsia"/>
          <w:color w:val="000000" w:themeColor="text1"/>
        </w:rPr>
        <w:t>55</w:t>
      </w:r>
      <w:r w:rsidRPr="00286323">
        <w:rPr>
          <w:rFonts w:asciiTheme="minorEastAsia" w:eastAsiaTheme="minorEastAsia" w:hAnsiTheme="minorEastAsia" w:hint="eastAsia"/>
          <w:color w:val="000000" w:themeColor="text1"/>
          <w:szCs w:val="20"/>
        </w:rPr>
        <w:t>元</w:t>
      </w:r>
    </w:p>
    <w:p w:rsidR="001C7E9C" w:rsidRPr="00286323" w:rsidRDefault="001C7E9C" w:rsidP="00F71D3B">
      <w:pPr>
        <w:snapToGrid w:val="0"/>
        <w:spacing w:line="360" w:lineRule="auto"/>
        <w:ind w:firstLine="420"/>
        <w:rPr>
          <w:rFonts w:asciiTheme="minorEastAsia" w:eastAsiaTheme="minorEastAsia" w:hAnsiTheme="minorEastAsia"/>
          <w:color w:val="000000" w:themeColor="text1"/>
          <w:szCs w:val="20"/>
        </w:rPr>
      </w:pPr>
      <w:r w:rsidRPr="00286323">
        <w:rPr>
          <w:rFonts w:asciiTheme="minorEastAsia" w:eastAsiaTheme="minorEastAsia" w:hAnsiTheme="minorEastAsia" w:hint="eastAsia"/>
          <w:color w:val="000000" w:themeColor="text1"/>
          <w:szCs w:val="20"/>
        </w:rPr>
        <w:lastRenderedPageBreak/>
        <w:t>转入份额=转入金额</w:t>
      </w:r>
      <w:r w:rsidRPr="00286323">
        <w:rPr>
          <w:rFonts w:asciiTheme="minorEastAsia" w:eastAsiaTheme="minorEastAsia" w:hAnsiTheme="minorEastAsia"/>
          <w:color w:val="000000" w:themeColor="text1"/>
          <w:szCs w:val="20"/>
        </w:rPr>
        <w:t>÷</w:t>
      </w:r>
      <w:r w:rsidRPr="00286323">
        <w:rPr>
          <w:rFonts w:asciiTheme="minorEastAsia" w:eastAsiaTheme="minorEastAsia" w:hAnsiTheme="minorEastAsia" w:hint="eastAsia"/>
          <w:color w:val="000000" w:themeColor="text1"/>
          <w:szCs w:val="20"/>
        </w:rPr>
        <w:t>转入基金份额净值=10,8</w:t>
      </w:r>
      <w:r w:rsidR="005F2BDB" w:rsidRPr="00286323">
        <w:rPr>
          <w:rFonts w:asciiTheme="minorEastAsia" w:eastAsiaTheme="minorEastAsia" w:hAnsiTheme="minorEastAsia" w:hint="eastAsia"/>
          <w:color w:val="000000" w:themeColor="text1"/>
        </w:rPr>
        <w:t>90.55</w:t>
      </w:r>
      <w:r w:rsidRPr="00286323">
        <w:rPr>
          <w:rFonts w:asciiTheme="minorEastAsia" w:eastAsiaTheme="minorEastAsia" w:hAnsiTheme="minorEastAsia"/>
          <w:color w:val="000000" w:themeColor="text1"/>
          <w:szCs w:val="20"/>
        </w:rPr>
        <w:t>÷</w:t>
      </w:r>
      <w:r w:rsidRPr="00286323">
        <w:rPr>
          <w:rFonts w:asciiTheme="minorEastAsia" w:eastAsiaTheme="minorEastAsia" w:hAnsiTheme="minorEastAsia" w:hint="eastAsia"/>
          <w:color w:val="000000" w:themeColor="text1"/>
          <w:szCs w:val="20"/>
        </w:rPr>
        <w:t>1.020</w:t>
      </w:r>
      <w:r w:rsidR="00853B92" w:rsidRPr="00286323">
        <w:rPr>
          <w:rFonts w:asciiTheme="minorEastAsia" w:eastAsiaTheme="minorEastAsia" w:hAnsiTheme="minorEastAsia" w:hint="eastAsia"/>
          <w:color w:val="000000" w:themeColor="text1"/>
          <w:szCs w:val="20"/>
        </w:rPr>
        <w:t>0</w:t>
      </w:r>
      <w:r w:rsidRPr="00286323">
        <w:rPr>
          <w:rFonts w:asciiTheme="minorEastAsia" w:eastAsiaTheme="minorEastAsia" w:hAnsiTheme="minorEastAsia" w:hint="eastAsia"/>
          <w:color w:val="000000" w:themeColor="text1"/>
          <w:szCs w:val="20"/>
        </w:rPr>
        <w:t>=10,6</w:t>
      </w:r>
      <w:r w:rsidR="005F2BDB" w:rsidRPr="00286323">
        <w:rPr>
          <w:rFonts w:asciiTheme="minorEastAsia" w:eastAsiaTheme="minorEastAsia" w:hAnsiTheme="minorEastAsia" w:hint="eastAsia"/>
          <w:color w:val="000000" w:themeColor="text1"/>
        </w:rPr>
        <w:t>77</w:t>
      </w:r>
      <w:r w:rsidRPr="00286323">
        <w:rPr>
          <w:rFonts w:asciiTheme="minorEastAsia" w:eastAsiaTheme="minorEastAsia" w:hAnsiTheme="minorEastAsia" w:hint="eastAsia"/>
          <w:color w:val="000000" w:themeColor="text1"/>
          <w:szCs w:val="20"/>
        </w:rPr>
        <w:t>.</w:t>
      </w:r>
      <w:r w:rsidR="005F2BDB" w:rsidRPr="00286323">
        <w:rPr>
          <w:rFonts w:asciiTheme="minorEastAsia" w:eastAsiaTheme="minorEastAsia" w:hAnsiTheme="minorEastAsia" w:hint="eastAsia"/>
          <w:color w:val="000000" w:themeColor="text1"/>
        </w:rPr>
        <w:t>01</w:t>
      </w:r>
      <w:r w:rsidRPr="00286323">
        <w:rPr>
          <w:rFonts w:asciiTheme="minorEastAsia" w:eastAsiaTheme="minorEastAsia" w:hAnsiTheme="minorEastAsia" w:hint="eastAsia"/>
          <w:color w:val="000000" w:themeColor="text1"/>
          <w:szCs w:val="20"/>
        </w:rPr>
        <w:t>份</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1440"/>
        <w:gridCol w:w="1260"/>
        <w:gridCol w:w="1080"/>
        <w:gridCol w:w="1440"/>
        <w:gridCol w:w="1185"/>
        <w:gridCol w:w="1335"/>
      </w:tblGrid>
      <w:tr w:rsidR="00286323" w:rsidRPr="00286323" w:rsidTr="00266534">
        <w:trPr>
          <w:trHeight w:val="413"/>
        </w:trPr>
        <w:tc>
          <w:tcPr>
            <w:tcW w:w="1080" w:type="dxa"/>
            <w:vMerge w:val="restart"/>
          </w:tcPr>
          <w:p w:rsidR="001C7E9C" w:rsidRPr="00286323" w:rsidRDefault="001C7E9C" w:rsidP="00F71D3B">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286323">
              <w:rPr>
                <w:rFonts w:asciiTheme="minorEastAsia" w:eastAsiaTheme="minorEastAsia" w:hAnsiTheme="minorEastAsia" w:hint="eastAsia"/>
                <w:color w:val="000000" w:themeColor="text1"/>
                <w:szCs w:val="20"/>
              </w:rPr>
              <w:t>转出</w:t>
            </w:r>
            <w:r w:rsidRPr="00286323">
              <w:rPr>
                <w:rFonts w:asciiTheme="minorEastAsia" w:eastAsiaTheme="minorEastAsia" w:hAnsiTheme="minorEastAsia"/>
                <w:color w:val="000000" w:themeColor="text1"/>
                <w:szCs w:val="20"/>
              </w:rPr>
              <w:t>份额</w:t>
            </w:r>
          </w:p>
        </w:tc>
        <w:tc>
          <w:tcPr>
            <w:tcW w:w="900" w:type="dxa"/>
            <w:vMerge w:val="restart"/>
          </w:tcPr>
          <w:p w:rsidR="001C7E9C" w:rsidRPr="00286323" w:rsidRDefault="001C7E9C" w:rsidP="00F71D3B">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286323">
              <w:rPr>
                <w:rFonts w:asciiTheme="minorEastAsia" w:eastAsiaTheme="minorEastAsia" w:hAnsiTheme="minorEastAsia" w:hint="eastAsia"/>
                <w:color w:val="000000" w:themeColor="text1"/>
                <w:szCs w:val="20"/>
              </w:rPr>
              <w:t>转出</w:t>
            </w:r>
            <w:r w:rsidRPr="00286323">
              <w:rPr>
                <w:rFonts w:asciiTheme="minorEastAsia" w:eastAsiaTheme="minorEastAsia" w:hAnsiTheme="minorEastAsia"/>
                <w:color w:val="000000" w:themeColor="text1"/>
                <w:szCs w:val="20"/>
              </w:rPr>
              <w:t>基金</w:t>
            </w:r>
            <w:r w:rsidRPr="00286323">
              <w:rPr>
                <w:rFonts w:asciiTheme="minorEastAsia" w:eastAsiaTheme="minorEastAsia" w:hAnsiTheme="minorEastAsia" w:hint="eastAsia"/>
                <w:color w:val="000000" w:themeColor="text1"/>
                <w:szCs w:val="20"/>
              </w:rPr>
              <w:t>份额</w:t>
            </w:r>
            <w:r w:rsidRPr="00286323">
              <w:rPr>
                <w:rFonts w:asciiTheme="minorEastAsia" w:eastAsiaTheme="minorEastAsia" w:hAnsiTheme="minorEastAsia"/>
                <w:color w:val="000000" w:themeColor="text1"/>
                <w:szCs w:val="20"/>
              </w:rPr>
              <w:t>净值</w:t>
            </w:r>
          </w:p>
        </w:tc>
        <w:tc>
          <w:tcPr>
            <w:tcW w:w="1440" w:type="dxa"/>
            <w:vMerge w:val="restart"/>
          </w:tcPr>
          <w:p w:rsidR="001C7E9C" w:rsidRPr="00286323" w:rsidRDefault="001C7E9C" w:rsidP="00F71D3B">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286323">
              <w:rPr>
                <w:rFonts w:asciiTheme="minorEastAsia" w:eastAsiaTheme="minorEastAsia" w:hAnsiTheme="minorEastAsia" w:hint="eastAsia"/>
                <w:color w:val="000000" w:themeColor="text1"/>
                <w:szCs w:val="20"/>
              </w:rPr>
              <w:t>转换金额</w:t>
            </w:r>
          </w:p>
        </w:tc>
        <w:tc>
          <w:tcPr>
            <w:tcW w:w="2340" w:type="dxa"/>
            <w:gridSpan w:val="2"/>
          </w:tcPr>
          <w:p w:rsidR="001C7E9C" w:rsidRPr="00286323" w:rsidRDefault="001C7E9C" w:rsidP="00F71D3B">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286323">
              <w:rPr>
                <w:rFonts w:asciiTheme="minorEastAsia" w:eastAsiaTheme="minorEastAsia" w:hAnsiTheme="minorEastAsia" w:hint="eastAsia"/>
                <w:color w:val="000000" w:themeColor="text1"/>
                <w:szCs w:val="20"/>
              </w:rPr>
              <w:t>转换费</w:t>
            </w:r>
          </w:p>
        </w:tc>
        <w:tc>
          <w:tcPr>
            <w:tcW w:w="1440" w:type="dxa"/>
            <w:vMerge w:val="restart"/>
          </w:tcPr>
          <w:p w:rsidR="001C7E9C" w:rsidRPr="00286323" w:rsidRDefault="001C7E9C" w:rsidP="00F71D3B">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286323">
              <w:rPr>
                <w:rFonts w:asciiTheme="minorEastAsia" w:eastAsiaTheme="minorEastAsia" w:hAnsiTheme="minorEastAsia" w:hint="eastAsia"/>
                <w:color w:val="000000" w:themeColor="text1"/>
                <w:szCs w:val="20"/>
              </w:rPr>
              <w:t>转入金额</w:t>
            </w:r>
          </w:p>
        </w:tc>
        <w:tc>
          <w:tcPr>
            <w:tcW w:w="1185" w:type="dxa"/>
            <w:vMerge w:val="restart"/>
          </w:tcPr>
          <w:p w:rsidR="001C7E9C" w:rsidRPr="00286323" w:rsidRDefault="001C7E9C" w:rsidP="00F71D3B">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286323">
              <w:rPr>
                <w:rFonts w:asciiTheme="minorEastAsia" w:eastAsiaTheme="minorEastAsia" w:hAnsiTheme="minorEastAsia" w:hint="eastAsia"/>
                <w:color w:val="000000" w:themeColor="text1"/>
                <w:szCs w:val="20"/>
              </w:rPr>
              <w:t>转入</w:t>
            </w:r>
            <w:r w:rsidRPr="00286323">
              <w:rPr>
                <w:rFonts w:asciiTheme="minorEastAsia" w:eastAsiaTheme="minorEastAsia" w:hAnsiTheme="minorEastAsia"/>
                <w:color w:val="000000" w:themeColor="text1"/>
                <w:szCs w:val="20"/>
              </w:rPr>
              <w:t>基金</w:t>
            </w:r>
            <w:r w:rsidRPr="00286323">
              <w:rPr>
                <w:rFonts w:asciiTheme="minorEastAsia" w:eastAsiaTheme="minorEastAsia" w:hAnsiTheme="minorEastAsia" w:hint="eastAsia"/>
                <w:color w:val="000000" w:themeColor="text1"/>
                <w:szCs w:val="20"/>
              </w:rPr>
              <w:t>份额</w:t>
            </w:r>
            <w:r w:rsidRPr="00286323">
              <w:rPr>
                <w:rFonts w:asciiTheme="minorEastAsia" w:eastAsiaTheme="minorEastAsia" w:hAnsiTheme="minorEastAsia"/>
                <w:color w:val="000000" w:themeColor="text1"/>
                <w:szCs w:val="20"/>
              </w:rPr>
              <w:t>净值</w:t>
            </w:r>
          </w:p>
        </w:tc>
        <w:tc>
          <w:tcPr>
            <w:tcW w:w="1335" w:type="dxa"/>
            <w:vMerge w:val="restart"/>
          </w:tcPr>
          <w:p w:rsidR="001C7E9C" w:rsidRPr="00286323" w:rsidRDefault="001C7E9C" w:rsidP="00F71D3B">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286323">
              <w:rPr>
                <w:rFonts w:asciiTheme="minorEastAsia" w:eastAsiaTheme="minorEastAsia" w:hAnsiTheme="minorEastAsia" w:hint="eastAsia"/>
                <w:color w:val="000000" w:themeColor="text1"/>
                <w:szCs w:val="20"/>
              </w:rPr>
              <w:t>转入份额</w:t>
            </w:r>
          </w:p>
        </w:tc>
      </w:tr>
      <w:tr w:rsidR="00286323" w:rsidRPr="00286323" w:rsidTr="00266534">
        <w:trPr>
          <w:trHeight w:val="412"/>
        </w:trPr>
        <w:tc>
          <w:tcPr>
            <w:tcW w:w="1080" w:type="dxa"/>
            <w:vMerge/>
          </w:tcPr>
          <w:p w:rsidR="001C7E9C" w:rsidRPr="00286323" w:rsidRDefault="001C7E9C" w:rsidP="00F71D3B">
            <w:pPr>
              <w:snapToGrid w:val="0"/>
              <w:spacing w:line="360" w:lineRule="auto"/>
              <w:ind w:firstLine="420"/>
              <w:rPr>
                <w:rFonts w:asciiTheme="minorEastAsia" w:eastAsiaTheme="minorEastAsia" w:hAnsiTheme="minorEastAsia"/>
                <w:color w:val="000000" w:themeColor="text1"/>
                <w:szCs w:val="20"/>
              </w:rPr>
            </w:pPr>
          </w:p>
        </w:tc>
        <w:tc>
          <w:tcPr>
            <w:tcW w:w="900" w:type="dxa"/>
            <w:vMerge/>
          </w:tcPr>
          <w:p w:rsidR="001C7E9C" w:rsidRPr="00286323" w:rsidRDefault="001C7E9C" w:rsidP="00F71D3B">
            <w:pPr>
              <w:snapToGrid w:val="0"/>
              <w:spacing w:line="360" w:lineRule="auto"/>
              <w:ind w:firstLine="420"/>
              <w:rPr>
                <w:rFonts w:asciiTheme="minorEastAsia" w:eastAsiaTheme="minorEastAsia" w:hAnsiTheme="minorEastAsia"/>
                <w:color w:val="000000" w:themeColor="text1"/>
                <w:szCs w:val="20"/>
              </w:rPr>
            </w:pPr>
          </w:p>
        </w:tc>
        <w:tc>
          <w:tcPr>
            <w:tcW w:w="1440" w:type="dxa"/>
            <w:vMerge/>
          </w:tcPr>
          <w:p w:rsidR="001C7E9C" w:rsidRPr="00286323" w:rsidRDefault="001C7E9C" w:rsidP="00F71D3B">
            <w:pPr>
              <w:snapToGrid w:val="0"/>
              <w:spacing w:line="360" w:lineRule="auto"/>
              <w:ind w:firstLine="420"/>
              <w:rPr>
                <w:rFonts w:asciiTheme="minorEastAsia" w:eastAsiaTheme="minorEastAsia" w:hAnsiTheme="minorEastAsia"/>
                <w:color w:val="000000" w:themeColor="text1"/>
                <w:szCs w:val="20"/>
              </w:rPr>
            </w:pPr>
          </w:p>
        </w:tc>
        <w:tc>
          <w:tcPr>
            <w:tcW w:w="1260" w:type="dxa"/>
          </w:tcPr>
          <w:p w:rsidR="001C7E9C" w:rsidRPr="00286323" w:rsidRDefault="001C7E9C" w:rsidP="00F71D3B">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286323">
              <w:rPr>
                <w:rFonts w:asciiTheme="minorEastAsia" w:eastAsiaTheme="minorEastAsia" w:hAnsiTheme="minorEastAsia" w:hint="eastAsia"/>
                <w:color w:val="000000" w:themeColor="text1"/>
                <w:szCs w:val="20"/>
              </w:rPr>
              <w:t>转出基金</w:t>
            </w:r>
            <w:r w:rsidRPr="00286323">
              <w:rPr>
                <w:rFonts w:asciiTheme="minorEastAsia" w:eastAsiaTheme="minorEastAsia" w:hAnsiTheme="minorEastAsia"/>
                <w:color w:val="000000" w:themeColor="text1"/>
                <w:szCs w:val="20"/>
              </w:rPr>
              <w:t>赎回费</w:t>
            </w:r>
          </w:p>
        </w:tc>
        <w:tc>
          <w:tcPr>
            <w:tcW w:w="1080" w:type="dxa"/>
          </w:tcPr>
          <w:p w:rsidR="001C7E9C" w:rsidRPr="00286323" w:rsidRDefault="001C7E9C" w:rsidP="00F71D3B">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286323">
              <w:rPr>
                <w:rFonts w:asciiTheme="minorEastAsia" w:eastAsiaTheme="minorEastAsia" w:hAnsiTheme="minorEastAsia" w:hint="eastAsia"/>
                <w:color w:val="000000" w:themeColor="text1"/>
                <w:szCs w:val="20"/>
              </w:rPr>
              <w:t>申购</w:t>
            </w:r>
            <w:r w:rsidRPr="00286323">
              <w:rPr>
                <w:rFonts w:asciiTheme="minorEastAsia" w:eastAsiaTheme="minorEastAsia" w:hAnsiTheme="minorEastAsia"/>
                <w:color w:val="000000" w:themeColor="text1"/>
                <w:szCs w:val="20"/>
              </w:rPr>
              <w:t>补差费</w:t>
            </w:r>
          </w:p>
        </w:tc>
        <w:tc>
          <w:tcPr>
            <w:tcW w:w="1440" w:type="dxa"/>
            <w:vMerge/>
          </w:tcPr>
          <w:p w:rsidR="001C7E9C" w:rsidRPr="00286323" w:rsidRDefault="001C7E9C" w:rsidP="00F71D3B">
            <w:pPr>
              <w:snapToGrid w:val="0"/>
              <w:spacing w:line="360" w:lineRule="auto"/>
              <w:ind w:firstLine="420"/>
              <w:rPr>
                <w:rFonts w:asciiTheme="minorEastAsia" w:eastAsiaTheme="minorEastAsia" w:hAnsiTheme="minorEastAsia"/>
                <w:color w:val="000000" w:themeColor="text1"/>
                <w:szCs w:val="20"/>
              </w:rPr>
            </w:pPr>
          </w:p>
        </w:tc>
        <w:tc>
          <w:tcPr>
            <w:tcW w:w="1185" w:type="dxa"/>
            <w:vMerge/>
          </w:tcPr>
          <w:p w:rsidR="001C7E9C" w:rsidRPr="00286323" w:rsidRDefault="001C7E9C" w:rsidP="00F71D3B">
            <w:pPr>
              <w:snapToGrid w:val="0"/>
              <w:spacing w:line="360" w:lineRule="auto"/>
              <w:ind w:firstLine="420"/>
              <w:rPr>
                <w:rFonts w:asciiTheme="minorEastAsia" w:eastAsiaTheme="minorEastAsia" w:hAnsiTheme="minorEastAsia"/>
                <w:color w:val="000000" w:themeColor="text1"/>
                <w:szCs w:val="20"/>
              </w:rPr>
            </w:pPr>
          </w:p>
        </w:tc>
        <w:tc>
          <w:tcPr>
            <w:tcW w:w="1335" w:type="dxa"/>
            <w:vMerge/>
          </w:tcPr>
          <w:p w:rsidR="001C7E9C" w:rsidRPr="00286323" w:rsidRDefault="001C7E9C" w:rsidP="00F71D3B">
            <w:pPr>
              <w:snapToGrid w:val="0"/>
              <w:spacing w:line="360" w:lineRule="auto"/>
              <w:ind w:firstLine="420"/>
              <w:rPr>
                <w:rFonts w:asciiTheme="minorEastAsia" w:eastAsiaTheme="minorEastAsia" w:hAnsiTheme="minorEastAsia"/>
                <w:color w:val="000000" w:themeColor="text1"/>
                <w:szCs w:val="20"/>
              </w:rPr>
            </w:pPr>
          </w:p>
        </w:tc>
      </w:tr>
      <w:tr w:rsidR="00286323" w:rsidRPr="00286323" w:rsidTr="00266534">
        <w:tc>
          <w:tcPr>
            <w:tcW w:w="1080" w:type="dxa"/>
          </w:tcPr>
          <w:p w:rsidR="001C7E9C" w:rsidRPr="00286323" w:rsidRDefault="001C7E9C" w:rsidP="00F71D3B">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286323">
              <w:rPr>
                <w:rFonts w:asciiTheme="minorEastAsia" w:eastAsiaTheme="minorEastAsia" w:hAnsiTheme="minorEastAsia"/>
                <w:color w:val="000000" w:themeColor="text1"/>
                <w:szCs w:val="20"/>
              </w:rPr>
              <w:t>10,000</w:t>
            </w:r>
            <w:r w:rsidRPr="00286323">
              <w:rPr>
                <w:rFonts w:asciiTheme="minorEastAsia" w:eastAsiaTheme="minorEastAsia" w:hAnsiTheme="minorEastAsia" w:hint="eastAsia"/>
                <w:color w:val="000000" w:themeColor="text1"/>
                <w:szCs w:val="20"/>
              </w:rPr>
              <w:t>份</w:t>
            </w:r>
          </w:p>
        </w:tc>
        <w:tc>
          <w:tcPr>
            <w:tcW w:w="900" w:type="dxa"/>
          </w:tcPr>
          <w:p w:rsidR="001C7E9C" w:rsidRPr="00286323" w:rsidRDefault="001C7E9C" w:rsidP="00F71D3B">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286323">
              <w:rPr>
                <w:rFonts w:asciiTheme="minorEastAsia" w:eastAsiaTheme="minorEastAsia" w:hAnsiTheme="minorEastAsia"/>
                <w:color w:val="000000" w:themeColor="text1"/>
                <w:szCs w:val="20"/>
              </w:rPr>
              <w:t>1.</w:t>
            </w:r>
            <w:r w:rsidRPr="00286323">
              <w:rPr>
                <w:rFonts w:asciiTheme="minorEastAsia" w:eastAsiaTheme="minorEastAsia" w:hAnsiTheme="minorEastAsia" w:hint="eastAsia"/>
                <w:color w:val="000000" w:themeColor="text1"/>
                <w:szCs w:val="20"/>
              </w:rPr>
              <w:t>1</w:t>
            </w:r>
            <w:r w:rsidRPr="00286323">
              <w:rPr>
                <w:rFonts w:asciiTheme="minorEastAsia" w:eastAsiaTheme="minorEastAsia" w:hAnsiTheme="minorEastAsia"/>
                <w:color w:val="000000" w:themeColor="text1"/>
                <w:szCs w:val="20"/>
              </w:rPr>
              <w:t>0</w:t>
            </w:r>
            <w:r w:rsidRPr="00286323">
              <w:rPr>
                <w:rFonts w:asciiTheme="minorEastAsia" w:eastAsiaTheme="minorEastAsia" w:hAnsiTheme="minorEastAsia" w:hint="eastAsia"/>
                <w:color w:val="000000" w:themeColor="text1"/>
                <w:szCs w:val="20"/>
              </w:rPr>
              <w:t>00</w:t>
            </w:r>
            <w:r w:rsidRPr="00286323">
              <w:rPr>
                <w:rFonts w:asciiTheme="minorEastAsia" w:eastAsiaTheme="minorEastAsia" w:hAnsiTheme="minorEastAsia"/>
                <w:color w:val="000000" w:themeColor="text1"/>
                <w:szCs w:val="20"/>
              </w:rPr>
              <w:t>元</w:t>
            </w:r>
          </w:p>
        </w:tc>
        <w:tc>
          <w:tcPr>
            <w:tcW w:w="1440" w:type="dxa"/>
          </w:tcPr>
          <w:p w:rsidR="001C7E9C" w:rsidRPr="00286323" w:rsidRDefault="001C7E9C" w:rsidP="00F71D3B">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286323">
              <w:rPr>
                <w:rFonts w:asciiTheme="minorEastAsia" w:eastAsiaTheme="minorEastAsia" w:hAnsiTheme="minorEastAsia" w:hint="eastAsia"/>
                <w:color w:val="000000" w:themeColor="text1"/>
                <w:szCs w:val="20"/>
              </w:rPr>
              <w:t>11,000.00元</w:t>
            </w:r>
          </w:p>
        </w:tc>
        <w:tc>
          <w:tcPr>
            <w:tcW w:w="1260" w:type="dxa"/>
          </w:tcPr>
          <w:p w:rsidR="001C7E9C" w:rsidRPr="00286323" w:rsidRDefault="001C7E9C" w:rsidP="00F71D3B">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286323">
              <w:rPr>
                <w:rFonts w:asciiTheme="minorEastAsia" w:eastAsiaTheme="minorEastAsia" w:hAnsiTheme="minorEastAsia" w:hint="eastAsia"/>
                <w:color w:val="000000" w:themeColor="text1"/>
                <w:szCs w:val="20"/>
              </w:rPr>
              <w:t>55.00元</w:t>
            </w:r>
          </w:p>
        </w:tc>
        <w:tc>
          <w:tcPr>
            <w:tcW w:w="1080" w:type="dxa"/>
          </w:tcPr>
          <w:p w:rsidR="001C7E9C" w:rsidRPr="00286323" w:rsidRDefault="005F2BDB" w:rsidP="00F71D3B">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286323">
              <w:rPr>
                <w:rFonts w:asciiTheme="minorEastAsia" w:eastAsiaTheme="minorEastAsia" w:hAnsiTheme="minorEastAsia" w:hint="eastAsia"/>
                <w:color w:val="000000" w:themeColor="text1"/>
              </w:rPr>
              <w:t>54.45</w:t>
            </w:r>
            <w:r w:rsidR="001C7E9C" w:rsidRPr="00286323">
              <w:rPr>
                <w:rFonts w:asciiTheme="minorEastAsia" w:eastAsiaTheme="minorEastAsia" w:hAnsiTheme="minorEastAsia" w:hint="eastAsia"/>
                <w:color w:val="000000" w:themeColor="text1"/>
                <w:szCs w:val="20"/>
              </w:rPr>
              <w:t>元</w:t>
            </w:r>
          </w:p>
        </w:tc>
        <w:tc>
          <w:tcPr>
            <w:tcW w:w="1440" w:type="dxa"/>
          </w:tcPr>
          <w:p w:rsidR="001C7E9C" w:rsidRPr="00286323" w:rsidRDefault="005F2BDB" w:rsidP="00F71D3B">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286323">
              <w:rPr>
                <w:rFonts w:asciiTheme="minorEastAsia" w:eastAsiaTheme="minorEastAsia" w:hAnsiTheme="minorEastAsia" w:hint="eastAsia"/>
                <w:color w:val="000000" w:themeColor="text1"/>
                <w:szCs w:val="20"/>
              </w:rPr>
              <w:t>10,890.</w:t>
            </w:r>
            <w:r w:rsidRPr="00286323">
              <w:rPr>
                <w:rFonts w:asciiTheme="minorEastAsia" w:eastAsiaTheme="minorEastAsia" w:hAnsiTheme="minorEastAsia" w:hint="eastAsia"/>
                <w:color w:val="000000" w:themeColor="text1"/>
              </w:rPr>
              <w:t>55</w:t>
            </w:r>
            <w:r w:rsidR="001C7E9C" w:rsidRPr="00286323">
              <w:rPr>
                <w:rFonts w:asciiTheme="minorEastAsia" w:eastAsiaTheme="minorEastAsia" w:hAnsiTheme="minorEastAsia" w:hint="eastAsia"/>
                <w:color w:val="000000" w:themeColor="text1"/>
                <w:szCs w:val="20"/>
              </w:rPr>
              <w:t>元</w:t>
            </w:r>
          </w:p>
        </w:tc>
        <w:tc>
          <w:tcPr>
            <w:tcW w:w="1185" w:type="dxa"/>
          </w:tcPr>
          <w:p w:rsidR="001C7E9C" w:rsidRPr="00286323" w:rsidRDefault="001C7E9C" w:rsidP="00F71D3B">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286323">
              <w:rPr>
                <w:rFonts w:asciiTheme="minorEastAsia" w:eastAsiaTheme="minorEastAsia" w:hAnsiTheme="minorEastAsia" w:hint="eastAsia"/>
                <w:color w:val="000000" w:themeColor="text1"/>
                <w:szCs w:val="20"/>
              </w:rPr>
              <w:t>1.020</w:t>
            </w:r>
            <w:r w:rsidR="005F2BDB" w:rsidRPr="00286323">
              <w:rPr>
                <w:rFonts w:asciiTheme="minorEastAsia" w:eastAsiaTheme="minorEastAsia" w:hAnsiTheme="minorEastAsia" w:hint="eastAsia"/>
                <w:color w:val="000000" w:themeColor="text1"/>
                <w:szCs w:val="20"/>
              </w:rPr>
              <w:t>0</w:t>
            </w:r>
            <w:r w:rsidRPr="00286323">
              <w:rPr>
                <w:rFonts w:asciiTheme="minorEastAsia" w:eastAsiaTheme="minorEastAsia" w:hAnsiTheme="minorEastAsia" w:hint="eastAsia"/>
                <w:color w:val="000000" w:themeColor="text1"/>
                <w:szCs w:val="20"/>
              </w:rPr>
              <w:t>元</w:t>
            </w:r>
          </w:p>
        </w:tc>
        <w:tc>
          <w:tcPr>
            <w:tcW w:w="1335" w:type="dxa"/>
          </w:tcPr>
          <w:p w:rsidR="001C7E9C" w:rsidRPr="00286323" w:rsidRDefault="005F2BDB" w:rsidP="00F71D3B">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286323">
              <w:rPr>
                <w:rFonts w:asciiTheme="minorEastAsia" w:eastAsiaTheme="minorEastAsia" w:hAnsiTheme="minorEastAsia" w:hint="eastAsia"/>
                <w:color w:val="000000" w:themeColor="text1"/>
                <w:szCs w:val="20"/>
              </w:rPr>
              <w:t>10,6</w:t>
            </w:r>
            <w:r w:rsidRPr="00286323">
              <w:rPr>
                <w:rFonts w:asciiTheme="minorEastAsia" w:eastAsiaTheme="minorEastAsia" w:hAnsiTheme="minorEastAsia" w:hint="eastAsia"/>
                <w:color w:val="000000" w:themeColor="text1"/>
              </w:rPr>
              <w:t>77</w:t>
            </w:r>
            <w:r w:rsidRPr="00286323">
              <w:rPr>
                <w:rFonts w:asciiTheme="minorEastAsia" w:eastAsiaTheme="minorEastAsia" w:hAnsiTheme="minorEastAsia" w:hint="eastAsia"/>
                <w:color w:val="000000" w:themeColor="text1"/>
                <w:szCs w:val="20"/>
              </w:rPr>
              <w:t>.</w:t>
            </w:r>
            <w:r w:rsidRPr="00286323">
              <w:rPr>
                <w:rFonts w:asciiTheme="minorEastAsia" w:eastAsiaTheme="minorEastAsia" w:hAnsiTheme="minorEastAsia" w:hint="eastAsia"/>
                <w:color w:val="000000" w:themeColor="text1"/>
              </w:rPr>
              <w:t>01</w:t>
            </w:r>
            <w:r w:rsidR="001C7E9C" w:rsidRPr="00286323">
              <w:rPr>
                <w:rFonts w:asciiTheme="minorEastAsia" w:eastAsiaTheme="minorEastAsia" w:hAnsiTheme="minorEastAsia" w:hint="eastAsia"/>
                <w:color w:val="000000" w:themeColor="text1"/>
                <w:szCs w:val="20"/>
              </w:rPr>
              <w:t>份</w:t>
            </w:r>
          </w:p>
        </w:tc>
      </w:tr>
    </w:tbl>
    <w:p w:rsidR="008F1DC3" w:rsidRPr="00286323" w:rsidRDefault="003C0431" w:rsidP="008F1DC3">
      <w:pPr>
        <w:snapToGrid w:val="0"/>
        <w:spacing w:line="360" w:lineRule="auto"/>
        <w:ind w:firstLineChars="200" w:firstLine="420"/>
        <w:rPr>
          <w:rFonts w:asciiTheme="minorEastAsia" w:eastAsiaTheme="minorEastAsia" w:hAnsiTheme="minorEastAsia" w:cs="Times New Roman"/>
          <w:color w:val="000000" w:themeColor="text1"/>
          <w:kern w:val="2"/>
          <w:szCs w:val="24"/>
        </w:rPr>
      </w:pPr>
      <w:r w:rsidRPr="00286323">
        <w:rPr>
          <w:rFonts w:asciiTheme="minorEastAsia" w:eastAsiaTheme="minorEastAsia" w:hAnsiTheme="minorEastAsia" w:cs="Times New Roman" w:hint="eastAsia"/>
          <w:color w:val="000000" w:themeColor="text1"/>
          <w:kern w:val="2"/>
          <w:szCs w:val="24"/>
        </w:rPr>
        <w:t>注：本基金开通与易方达旗下其它开放式基金（由同一注册登记机构办理注册登记的、且已公告开通基金转换业务）之间的转换业务，各基金转换业务的开放状态及交易限制详见各基金相关公告。投资者需到同时销售拟转出和转入两只基金的同一销售机构办理基金的转换业务，具体的业务流程、办理时间和办理方式以销售机构的规定为准。转入本基金时转入份额的计算结果保留到小数点后两位，小数点后两位以后的部分四舍五入，由此误差产生的损失由基金财产承担，产生的收益归基金财产所有。</w:t>
      </w:r>
    </w:p>
    <w:p w:rsidR="001C7E9C" w:rsidRPr="00286323" w:rsidRDefault="001C7E9C" w:rsidP="00AF46A7">
      <w:pPr>
        <w:pStyle w:val="20"/>
        <w:numPr>
          <w:ilvl w:val="0"/>
          <w:numId w:val="16"/>
        </w:numPr>
        <w:snapToGrid w:val="0"/>
        <w:spacing w:beforeLines="0" w:afterLines="0" w:line="360" w:lineRule="auto"/>
        <w:ind w:leftChars="-67" w:left="-1" w:hangingChars="50" w:hanging="140"/>
        <w:rPr>
          <w:rFonts w:asciiTheme="minorEastAsia" w:eastAsiaTheme="minorEastAsia" w:hAnsiTheme="minorEastAsia" w:cs="Arial"/>
          <w:b w:val="0"/>
          <w:color w:val="000000" w:themeColor="text1"/>
        </w:rPr>
      </w:pPr>
      <w:bookmarkStart w:id="60" w:name="_Toc198959622"/>
      <w:bookmarkStart w:id="61" w:name="_Toc229996713"/>
      <w:bookmarkStart w:id="62" w:name="_Toc245693559"/>
      <w:bookmarkStart w:id="63" w:name="_Toc347214161"/>
      <w:r w:rsidRPr="00286323">
        <w:rPr>
          <w:rFonts w:asciiTheme="minorEastAsia" w:eastAsiaTheme="minorEastAsia" w:hAnsiTheme="minorEastAsia" w:cs="Arial" w:hint="eastAsia"/>
          <w:b w:val="0"/>
          <w:color w:val="000000" w:themeColor="text1"/>
        </w:rPr>
        <w:t>基金转换的注册登记</w:t>
      </w:r>
      <w:bookmarkEnd w:id="60"/>
      <w:bookmarkEnd w:id="61"/>
      <w:bookmarkEnd w:id="62"/>
      <w:bookmarkEnd w:id="63"/>
    </w:p>
    <w:p w:rsidR="001C7E9C" w:rsidRPr="00286323" w:rsidRDefault="001C7E9C" w:rsidP="00F71D3B">
      <w:pPr>
        <w:snapToGrid w:val="0"/>
        <w:spacing w:line="360" w:lineRule="auto"/>
        <w:ind w:firstLine="420"/>
        <w:rPr>
          <w:rFonts w:asciiTheme="minorEastAsia" w:eastAsiaTheme="minorEastAsia" w:hAnsiTheme="minorEastAsia"/>
          <w:color w:val="000000" w:themeColor="text1"/>
        </w:rPr>
      </w:pPr>
      <w:r w:rsidRPr="00286323">
        <w:rPr>
          <w:rFonts w:asciiTheme="minorEastAsia" w:eastAsiaTheme="minorEastAsia" w:hAnsiTheme="minorEastAsia" w:hint="eastAsia"/>
          <w:snapToGrid w:val="0"/>
          <w:color w:val="000000" w:themeColor="text1"/>
        </w:rPr>
        <w:t>投资者T日申请基金转换成功后，注册登记机构将在T＋1工作日为投资者办理减少转出基金份额、增加转入基金份额的权益登记手续，一般情况下，投资者自T＋2工作日起有权赎回转入部分的基金份额。</w:t>
      </w:r>
    </w:p>
    <w:p w:rsidR="001C7E9C" w:rsidRPr="00286323" w:rsidRDefault="001C7E9C" w:rsidP="00F71D3B">
      <w:pPr>
        <w:pStyle w:val="ac"/>
        <w:snapToGrid w:val="0"/>
        <w:spacing w:after="0" w:line="360" w:lineRule="auto"/>
        <w:ind w:firstLineChars="20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基金管理人可在法律法规允许的范围内，对上述注册登记办理时间进行调整，并</w:t>
      </w:r>
      <w:r w:rsidRPr="00286323">
        <w:rPr>
          <w:rFonts w:asciiTheme="minorEastAsia" w:eastAsiaTheme="minorEastAsia" w:hAnsiTheme="minorEastAsia" w:hint="eastAsia"/>
          <w:color w:val="000000" w:themeColor="text1"/>
          <w:kern w:val="0"/>
          <w:szCs w:val="21"/>
        </w:rPr>
        <w:t>应在调整生效</w:t>
      </w:r>
      <w:r w:rsidRPr="00286323">
        <w:rPr>
          <w:rFonts w:asciiTheme="minorEastAsia" w:eastAsiaTheme="minorEastAsia" w:hAnsiTheme="minorEastAsia" w:hint="eastAsia"/>
          <w:color w:val="000000" w:themeColor="text1"/>
        </w:rPr>
        <w:t>前在</w:t>
      </w:r>
      <w:r w:rsidR="00995394" w:rsidRPr="00286323">
        <w:rPr>
          <w:rFonts w:asciiTheme="minorEastAsia" w:eastAsiaTheme="minorEastAsia" w:hAnsiTheme="minorEastAsia" w:hint="eastAsia"/>
          <w:color w:val="000000" w:themeColor="text1"/>
        </w:rPr>
        <w:t>指定媒介</w:t>
      </w:r>
      <w:r w:rsidRPr="00286323">
        <w:rPr>
          <w:rFonts w:asciiTheme="minorEastAsia" w:eastAsiaTheme="minorEastAsia" w:hAnsiTheme="minorEastAsia" w:hint="eastAsia"/>
          <w:color w:val="000000" w:themeColor="text1"/>
        </w:rPr>
        <w:t>上予以公告。</w:t>
      </w:r>
    </w:p>
    <w:p w:rsidR="001C7E9C" w:rsidRPr="00286323" w:rsidRDefault="001C7E9C" w:rsidP="00AF46A7">
      <w:pPr>
        <w:pStyle w:val="20"/>
        <w:numPr>
          <w:ilvl w:val="0"/>
          <w:numId w:val="16"/>
        </w:numPr>
        <w:snapToGrid w:val="0"/>
        <w:spacing w:beforeLines="0" w:afterLines="0" w:line="360" w:lineRule="auto"/>
        <w:ind w:leftChars="-67" w:left="-1" w:hangingChars="50" w:hanging="140"/>
        <w:rPr>
          <w:rFonts w:asciiTheme="minorEastAsia" w:eastAsiaTheme="minorEastAsia" w:hAnsiTheme="minorEastAsia" w:cs="Arial"/>
          <w:b w:val="0"/>
          <w:color w:val="000000" w:themeColor="text1"/>
        </w:rPr>
      </w:pPr>
      <w:bookmarkStart w:id="64" w:name="_Toc198959623"/>
      <w:bookmarkStart w:id="65" w:name="_Toc229996714"/>
      <w:bookmarkStart w:id="66" w:name="_Toc245693560"/>
      <w:bookmarkStart w:id="67" w:name="_Toc347214162"/>
      <w:r w:rsidRPr="00286323">
        <w:rPr>
          <w:rFonts w:asciiTheme="minorEastAsia" w:eastAsiaTheme="minorEastAsia" w:hAnsiTheme="minorEastAsia" w:cs="Arial" w:hint="eastAsia"/>
          <w:b w:val="0"/>
          <w:color w:val="000000" w:themeColor="text1"/>
        </w:rPr>
        <w:t>基金转换</w:t>
      </w:r>
      <w:r w:rsidRPr="00286323">
        <w:rPr>
          <w:rFonts w:asciiTheme="minorEastAsia" w:eastAsiaTheme="minorEastAsia" w:hAnsiTheme="minorEastAsia" w:cs="Arial"/>
          <w:b w:val="0"/>
          <w:color w:val="000000" w:themeColor="text1"/>
        </w:rPr>
        <w:t>与巨额赎回</w:t>
      </w:r>
      <w:bookmarkEnd w:id="64"/>
      <w:bookmarkEnd w:id="65"/>
      <w:bookmarkEnd w:id="66"/>
      <w:bookmarkEnd w:id="67"/>
    </w:p>
    <w:p w:rsidR="001C7E9C" w:rsidRPr="00286323" w:rsidRDefault="001C7E9C" w:rsidP="00F71D3B">
      <w:pPr>
        <w:snapToGrid w:val="0"/>
        <w:spacing w:line="360" w:lineRule="auto"/>
        <w:ind w:firstLine="420"/>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当</w:t>
      </w:r>
      <w:r w:rsidRPr="00286323">
        <w:rPr>
          <w:rFonts w:asciiTheme="minorEastAsia" w:eastAsiaTheme="minorEastAsia" w:hAnsiTheme="minorEastAsia" w:hint="eastAsia"/>
          <w:color w:val="000000" w:themeColor="text1"/>
        </w:rPr>
        <w:t>发生巨额赎回时，基金转出与基金赎回具有相同的优先级，基金管理人可根据基金资产组合情况，决定全额转出或部分转出，并且对于基金转出和基金赎回，将采取相同的比例确认（另有公告的除外）；在转出申请得到部分确认的情况下，未确认的转出申请将不予以顺延。</w:t>
      </w:r>
    </w:p>
    <w:p w:rsidR="001C7E9C" w:rsidRPr="00286323" w:rsidRDefault="001C7E9C" w:rsidP="00AF46A7">
      <w:pPr>
        <w:pStyle w:val="20"/>
        <w:numPr>
          <w:ilvl w:val="0"/>
          <w:numId w:val="16"/>
        </w:numPr>
        <w:snapToGrid w:val="0"/>
        <w:spacing w:beforeLines="0" w:afterLines="0" w:line="360" w:lineRule="auto"/>
        <w:ind w:leftChars="-67" w:left="-1" w:hangingChars="50" w:hanging="140"/>
        <w:rPr>
          <w:rFonts w:asciiTheme="minorEastAsia" w:eastAsiaTheme="minorEastAsia" w:hAnsiTheme="minorEastAsia" w:cs="Arial"/>
          <w:b w:val="0"/>
          <w:color w:val="000000" w:themeColor="text1"/>
        </w:rPr>
      </w:pPr>
      <w:bookmarkStart w:id="68" w:name="_Toc198959624"/>
      <w:bookmarkStart w:id="69" w:name="_Toc229996715"/>
      <w:bookmarkStart w:id="70" w:name="_Toc245693561"/>
      <w:bookmarkStart w:id="71" w:name="_Toc347214163"/>
      <w:r w:rsidRPr="00286323">
        <w:rPr>
          <w:rFonts w:asciiTheme="minorEastAsia" w:eastAsiaTheme="minorEastAsia" w:hAnsiTheme="minorEastAsia" w:cs="Arial" w:hint="eastAsia"/>
          <w:b w:val="0"/>
          <w:color w:val="000000" w:themeColor="text1"/>
        </w:rPr>
        <w:t>拒绝或暂停基金转换的情形</w:t>
      </w:r>
      <w:bookmarkEnd w:id="68"/>
      <w:bookmarkEnd w:id="69"/>
      <w:bookmarkEnd w:id="70"/>
      <w:bookmarkEnd w:id="71"/>
    </w:p>
    <w:p w:rsidR="001C7E9C" w:rsidRPr="00286323" w:rsidRDefault="001C7E9C"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出现下列情况之一时,基金管理人可以暂停接受基金份额持有人的基金转换申请：</w:t>
      </w:r>
    </w:p>
    <w:p w:rsidR="001C7E9C" w:rsidRPr="00286323" w:rsidRDefault="008F1AE4"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w:t>
      </w:r>
      <w:r w:rsidR="001C7E9C" w:rsidRPr="00286323">
        <w:rPr>
          <w:rFonts w:asciiTheme="minorEastAsia" w:eastAsiaTheme="minorEastAsia" w:hAnsiTheme="minorEastAsia" w:hint="eastAsia"/>
          <w:color w:val="000000" w:themeColor="text1"/>
        </w:rPr>
        <w:t>不可抗力的原因导致基金无法正常运作；</w:t>
      </w:r>
    </w:p>
    <w:p w:rsidR="001C7E9C" w:rsidRPr="00286323" w:rsidRDefault="008F1AE4"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w:t>
      </w:r>
      <w:r w:rsidR="001C7E9C" w:rsidRPr="00286323">
        <w:rPr>
          <w:rFonts w:asciiTheme="minorEastAsia" w:eastAsiaTheme="minorEastAsia" w:hAnsiTheme="minorEastAsia" w:hint="eastAsia"/>
          <w:color w:val="000000" w:themeColor="text1"/>
        </w:rPr>
        <w:t>证券交易场所在交易时间非正常停市或证券交易场所依法决定临时停市，导致当日基金资产净值无法计算；</w:t>
      </w:r>
    </w:p>
    <w:p w:rsidR="001C7E9C" w:rsidRPr="00286323" w:rsidRDefault="008F1AE4"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w:t>
      </w:r>
      <w:r w:rsidR="001C7E9C" w:rsidRPr="00286323">
        <w:rPr>
          <w:rFonts w:asciiTheme="minorEastAsia" w:eastAsiaTheme="minorEastAsia" w:hAnsiTheme="minorEastAsia" w:hint="eastAsia"/>
          <w:color w:val="000000" w:themeColor="text1"/>
        </w:rPr>
        <w:t>因市场剧烈波动或其它原因而出现连续巨额赎回，导致本基金的现金支付出现困难；</w:t>
      </w:r>
    </w:p>
    <w:p w:rsidR="001C7E9C" w:rsidRPr="00286323" w:rsidRDefault="008F1AE4"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4、</w:t>
      </w:r>
      <w:r w:rsidR="001C7E9C" w:rsidRPr="00286323">
        <w:rPr>
          <w:rFonts w:asciiTheme="minorEastAsia" w:eastAsiaTheme="minorEastAsia" w:hAnsiTheme="minorEastAsia" w:hint="eastAsia"/>
          <w:color w:val="000000" w:themeColor="text1"/>
        </w:rPr>
        <w:t>基金管理人认为会有损于现有基金份额持有人利益的某笔转入或某笔转出；</w:t>
      </w:r>
    </w:p>
    <w:p w:rsidR="001C7E9C" w:rsidRPr="00286323" w:rsidRDefault="008F1AE4"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5、</w:t>
      </w:r>
      <w:r w:rsidR="001C7E9C" w:rsidRPr="00286323">
        <w:rPr>
          <w:rFonts w:asciiTheme="minorEastAsia" w:eastAsiaTheme="minorEastAsia" w:hAnsiTheme="minorEastAsia" w:hint="eastAsia"/>
          <w:color w:val="000000" w:themeColor="text1"/>
        </w:rPr>
        <w:t>发生基金合同规定的暂停基金资产估值情况；</w:t>
      </w:r>
    </w:p>
    <w:p w:rsidR="001C7E9C" w:rsidRPr="00286323" w:rsidRDefault="008F1AE4"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6、</w:t>
      </w:r>
      <w:r w:rsidR="001C7E9C" w:rsidRPr="00286323">
        <w:rPr>
          <w:rFonts w:asciiTheme="minorEastAsia" w:eastAsiaTheme="minorEastAsia" w:hAnsiTheme="minorEastAsia" w:hint="eastAsia"/>
          <w:color w:val="000000" w:themeColor="text1"/>
        </w:rPr>
        <w:t>基金资产规模过大，使基金管理人无法找到合适的投资品种，或可能对基金业绩产生负面影响，从而损害现有基金份额持有人的利益；</w:t>
      </w:r>
    </w:p>
    <w:p w:rsidR="00CA6C22" w:rsidRPr="00286323" w:rsidRDefault="00CA6C22"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7、基金管理人接受某笔或者某些转换转入申请有可能导致单一投资者持有基金份额的比例达到或者超过50%，或者变相规避50%集中度的情形时。</w:t>
      </w:r>
    </w:p>
    <w:p w:rsidR="00024C22" w:rsidRPr="00286323" w:rsidRDefault="00CA6C22" w:rsidP="00024C22">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8</w:t>
      </w:r>
      <w:r w:rsidR="00024C22" w:rsidRPr="00286323">
        <w:rPr>
          <w:rFonts w:asciiTheme="minorEastAsia" w:eastAsiaTheme="minorEastAsia" w:hAnsiTheme="minorEastAsia" w:hint="eastAsia"/>
          <w:color w:val="000000" w:themeColor="text1"/>
        </w:rPr>
        <w:t>、当一笔新的转换转入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024C22" w:rsidRPr="00286323" w:rsidRDefault="00CA6C22" w:rsidP="00024C22">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9</w:t>
      </w:r>
      <w:r w:rsidR="00024C22" w:rsidRPr="00286323">
        <w:rPr>
          <w:rFonts w:asciiTheme="minorEastAsia" w:eastAsiaTheme="minorEastAsia" w:hAnsiTheme="minorEastAsia" w:hint="eastAsia"/>
          <w:color w:val="000000" w:themeColor="text1"/>
        </w:rPr>
        <w:t>、当前一估值日基金资产净值50%以上的资产出现无可参考的活跃市场价格且采用估值技术仍导致公允价值存在重大不确定性时，经与基金托管人协商确认后，基金管理人应当采取暂停接受基金转换申请的措施。</w:t>
      </w:r>
    </w:p>
    <w:p w:rsidR="001C7E9C" w:rsidRPr="00286323" w:rsidRDefault="00CA6C22"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10</w:t>
      </w:r>
      <w:r w:rsidR="008F1AE4" w:rsidRPr="00286323">
        <w:rPr>
          <w:rFonts w:asciiTheme="minorEastAsia" w:eastAsiaTheme="minorEastAsia" w:hAnsiTheme="minorEastAsia" w:hint="eastAsia"/>
          <w:color w:val="000000" w:themeColor="text1"/>
        </w:rPr>
        <w:t>、</w:t>
      </w:r>
      <w:r w:rsidR="001C7E9C" w:rsidRPr="00286323">
        <w:rPr>
          <w:rFonts w:asciiTheme="minorEastAsia" w:eastAsiaTheme="minorEastAsia" w:hAnsiTheme="minorEastAsia" w:hint="eastAsia"/>
          <w:color w:val="000000" w:themeColor="text1"/>
        </w:rPr>
        <w:t>法律、法规规定或中国证监会认定的其他情形。</w:t>
      </w:r>
    </w:p>
    <w:p w:rsidR="00907BEB" w:rsidRPr="00286323" w:rsidRDefault="001C7E9C" w:rsidP="0026467A">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基金暂停转换或暂停后重新开放转换时，基金管理人应在</w:t>
      </w:r>
      <w:r w:rsidR="00C45019" w:rsidRPr="00286323">
        <w:rPr>
          <w:rFonts w:asciiTheme="minorEastAsia" w:eastAsiaTheme="minorEastAsia" w:hAnsiTheme="minorEastAsia" w:hint="eastAsia"/>
          <w:color w:val="000000" w:themeColor="text1"/>
        </w:rPr>
        <w:t>指定媒介</w:t>
      </w:r>
      <w:r w:rsidRPr="00286323">
        <w:rPr>
          <w:rFonts w:asciiTheme="minorEastAsia" w:eastAsiaTheme="minorEastAsia" w:hAnsiTheme="minorEastAsia" w:hint="eastAsia"/>
          <w:color w:val="000000" w:themeColor="text1"/>
        </w:rPr>
        <w:t>上公告。</w:t>
      </w:r>
    </w:p>
    <w:p w:rsidR="001A7CDB" w:rsidRPr="00286323" w:rsidRDefault="001A7CDB" w:rsidP="00F71D3B">
      <w:pPr>
        <w:pStyle w:val="11"/>
        <w:numPr>
          <w:ilvl w:val="0"/>
          <w:numId w:val="9"/>
        </w:numPr>
        <w:snapToGrid w:val="0"/>
        <w:spacing w:beforeLines="0" w:afterLines="0" w:line="360" w:lineRule="auto"/>
        <w:ind w:firstLineChars="0"/>
        <w:rPr>
          <w:rFonts w:asciiTheme="minorEastAsia" w:eastAsiaTheme="minorEastAsia" w:hAnsiTheme="minorEastAsia" w:cs="Arial"/>
          <w:bCs/>
          <w:color w:val="000000" w:themeColor="text1"/>
          <w:szCs w:val="21"/>
        </w:rPr>
      </w:pPr>
      <w:bookmarkStart w:id="72" w:name="_Toc86560070"/>
      <w:bookmarkStart w:id="73" w:name="_Toc86635162"/>
      <w:bookmarkStart w:id="74" w:name="_Toc91335002"/>
      <w:bookmarkStart w:id="75" w:name="_Toc81922644"/>
      <w:r w:rsidRPr="00286323">
        <w:rPr>
          <w:rFonts w:asciiTheme="minorEastAsia" w:eastAsiaTheme="minorEastAsia" w:hAnsiTheme="minorEastAsia" w:cs="Arial" w:hint="eastAsia"/>
          <w:color w:val="000000" w:themeColor="text1"/>
        </w:rPr>
        <w:lastRenderedPageBreak/>
        <w:t>基金的非交易过户、转托管及</w:t>
      </w:r>
      <w:r w:rsidRPr="00286323">
        <w:rPr>
          <w:rFonts w:asciiTheme="minorEastAsia" w:eastAsiaTheme="minorEastAsia" w:hAnsiTheme="minorEastAsia" w:cs="Arial" w:hint="eastAsia"/>
          <w:bCs/>
          <w:color w:val="000000" w:themeColor="text1"/>
          <w:szCs w:val="21"/>
        </w:rPr>
        <w:t>冻结与解冻</w:t>
      </w:r>
      <w:bookmarkEnd w:id="72"/>
      <w:bookmarkEnd w:id="73"/>
      <w:bookmarkEnd w:id="74"/>
      <w:bookmarkEnd w:id="75"/>
    </w:p>
    <w:p w:rsidR="001A7CDB" w:rsidRPr="00286323" w:rsidRDefault="001A7CDB" w:rsidP="00F71D3B">
      <w:pPr>
        <w:snapToGrid w:val="0"/>
        <w:spacing w:line="360" w:lineRule="auto"/>
        <w:ind w:firstLine="420"/>
        <w:rPr>
          <w:rFonts w:asciiTheme="minorEastAsia" w:eastAsiaTheme="minorEastAsia" w:hAnsiTheme="minorEastAsia"/>
          <w:color w:val="000000" w:themeColor="text1"/>
        </w:rPr>
      </w:pPr>
      <w:r w:rsidRPr="00286323">
        <w:rPr>
          <w:rFonts w:asciiTheme="minorEastAsia" w:eastAsiaTheme="minorEastAsia" w:hAnsiTheme="minorEastAsia" w:cs="Arial"/>
          <w:color w:val="000000" w:themeColor="text1"/>
        </w:rPr>
        <w:t>（一）</w:t>
      </w:r>
      <w:r w:rsidRPr="00286323">
        <w:rPr>
          <w:rFonts w:asciiTheme="minorEastAsia" w:eastAsiaTheme="minorEastAsia" w:hAnsiTheme="minorEastAsia" w:hint="eastAsia"/>
          <w:color w:val="000000" w:themeColor="text1"/>
        </w:rPr>
        <w:t>基金的非交易过户是指基金注册登记机构受理继承、捐赠和司法强制执行等情形而产生的非交易过户以及注册登记机构认可、符合法律法规的其它非交易过户。无论在上述何种情况下，接受划转的主体必须是依法可以持有本基金基金份额的投资人。</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hint="eastAsia"/>
          <w:color w:val="000000" w:themeColor="text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注册登记机构要求提供的相关资料，对于符合条件的非交易过户申请按基金注册登记机构的规定办理，并按基金注册登记机构规定的标准收费。</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（二）</w:t>
      </w:r>
      <w:r w:rsidRPr="00286323">
        <w:rPr>
          <w:rFonts w:asciiTheme="minorEastAsia" w:eastAsiaTheme="minorEastAsia" w:hAnsiTheme="minorEastAsia" w:cs="Arial" w:hint="eastAsia"/>
          <w:color w:val="000000" w:themeColor="text1"/>
        </w:rPr>
        <w:t>基金份额持有人可办理已持有基金份额在不同销售机构之间的转托管，基金销售机构可以按照规定的标准收取转托管费。</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（三）</w:t>
      </w:r>
      <w:r w:rsidRPr="00286323">
        <w:rPr>
          <w:rFonts w:asciiTheme="minorEastAsia" w:eastAsiaTheme="minorEastAsia" w:hAnsiTheme="minorEastAsia" w:cs="Arial" w:hint="eastAsia"/>
          <w:color w:val="000000" w:themeColor="text1"/>
        </w:rPr>
        <w:t>基金注册登记机构只受理国家有权机关依法要求的基金份额的冻结与解冻，以及注册登记机构认可、符合法律法规的其他情况下的冻结与解冻。基金份额被冻结的，被冻结部分产生的权益一并冻结，被冻结部分份额仍然参与收益分配与支付。</w:t>
      </w:r>
    </w:p>
    <w:p w:rsidR="001A7CDB" w:rsidRPr="00286323" w:rsidRDefault="001A7CDB" w:rsidP="00F71D3B">
      <w:pPr>
        <w:snapToGrid w:val="0"/>
        <w:spacing w:line="360" w:lineRule="auto"/>
        <w:rPr>
          <w:rFonts w:asciiTheme="minorEastAsia" w:eastAsiaTheme="minorEastAsia" w:hAnsiTheme="minorEastAsia" w:cs="Arial"/>
          <w:color w:val="000000" w:themeColor="text1"/>
        </w:rPr>
      </w:pPr>
    </w:p>
    <w:p w:rsidR="001A7CDB" w:rsidRPr="00286323" w:rsidRDefault="001A7CDB" w:rsidP="00F71D3B">
      <w:pPr>
        <w:snapToGrid w:val="0"/>
        <w:spacing w:line="360" w:lineRule="auto"/>
        <w:rPr>
          <w:rFonts w:asciiTheme="minorEastAsia" w:eastAsiaTheme="minorEastAsia" w:hAnsiTheme="minorEastAsia" w:cs="Arial"/>
          <w:color w:val="000000" w:themeColor="text1"/>
        </w:rPr>
      </w:pPr>
    </w:p>
    <w:p w:rsidR="001A7CDB" w:rsidRPr="00286323" w:rsidRDefault="001A7CDB" w:rsidP="00F71D3B">
      <w:pPr>
        <w:pStyle w:val="11"/>
        <w:numPr>
          <w:ilvl w:val="0"/>
          <w:numId w:val="9"/>
        </w:numPr>
        <w:snapToGrid w:val="0"/>
        <w:spacing w:beforeLines="0" w:afterLines="0" w:line="360" w:lineRule="auto"/>
        <w:ind w:firstLineChars="0"/>
        <w:rPr>
          <w:rFonts w:asciiTheme="minorEastAsia" w:eastAsiaTheme="minorEastAsia" w:hAnsiTheme="minorEastAsia" w:cs="Arial"/>
          <w:color w:val="000000" w:themeColor="text1"/>
        </w:rPr>
      </w:pPr>
      <w:bookmarkStart w:id="76" w:name="_Toc81922645"/>
      <w:bookmarkStart w:id="77" w:name="_Toc52310853"/>
      <w:r w:rsidRPr="00286323">
        <w:rPr>
          <w:rFonts w:asciiTheme="minorEastAsia" w:eastAsiaTheme="minorEastAsia" w:hAnsiTheme="minorEastAsia" w:cs="Arial" w:hint="eastAsia"/>
          <w:bCs/>
          <w:color w:val="000000" w:themeColor="text1"/>
        </w:rPr>
        <w:lastRenderedPageBreak/>
        <w:t>基金的投资</w:t>
      </w:r>
      <w:bookmarkEnd w:id="76"/>
    </w:p>
    <w:p w:rsidR="001A7CDB" w:rsidRPr="00286323" w:rsidRDefault="001A7CDB" w:rsidP="00F71D3B">
      <w:pPr>
        <w:pStyle w:val="20"/>
        <w:numPr>
          <w:ilvl w:val="0"/>
          <w:numId w:val="32"/>
        </w:numPr>
        <w:snapToGrid w:val="0"/>
        <w:spacing w:beforeLines="0" w:afterLines="0" w:line="360" w:lineRule="auto"/>
        <w:ind w:firstLineChars="0"/>
        <w:rPr>
          <w:rFonts w:asciiTheme="minorEastAsia" w:eastAsiaTheme="minorEastAsia" w:hAnsiTheme="minorEastAsia" w:cs="Arial"/>
          <w:b w:val="0"/>
          <w:color w:val="000000" w:themeColor="text1"/>
        </w:rPr>
      </w:pPr>
      <w:bookmarkStart w:id="78" w:name="_Toc52310848"/>
      <w:bookmarkStart w:id="79" w:name="_Toc64861723"/>
      <w:r w:rsidRPr="00286323">
        <w:rPr>
          <w:rFonts w:asciiTheme="minorEastAsia" w:eastAsiaTheme="minorEastAsia" w:hAnsiTheme="minorEastAsia" w:cs="Arial"/>
          <w:b w:val="0"/>
          <w:color w:val="000000" w:themeColor="text1"/>
        </w:rPr>
        <w:t>投资目标</w:t>
      </w:r>
    </w:p>
    <w:p w:rsidR="001A7CDB" w:rsidRPr="00286323" w:rsidRDefault="00E25512" w:rsidP="00F71D3B">
      <w:pPr>
        <w:snapToGrid w:val="0"/>
        <w:spacing w:line="360" w:lineRule="auto"/>
        <w:ind w:firstLine="480"/>
        <w:rPr>
          <w:rFonts w:asciiTheme="minorEastAsia" w:eastAsiaTheme="minorEastAsia" w:hAnsiTheme="minorEastAsia" w:cs="Arial"/>
          <w:color w:val="000000" w:themeColor="text1"/>
        </w:rPr>
      </w:pPr>
      <w:r w:rsidRPr="00286323">
        <w:rPr>
          <w:rFonts w:asciiTheme="minorEastAsia" w:eastAsiaTheme="minorEastAsia" w:hAnsiTheme="minorEastAsia" w:hint="eastAsia"/>
          <w:bCs/>
          <w:color w:val="000000" w:themeColor="text1"/>
        </w:rPr>
        <w:t>本基金为指数增强型股票基金，在力求对标的指数进行有效跟踪的基础上，主要通过运用量化策略进行投资组合管理，力争实现超越业绩比较基准的投资回报。</w:t>
      </w:r>
    </w:p>
    <w:p w:rsidR="001A7CDB" w:rsidRPr="00286323" w:rsidRDefault="001A7CDB" w:rsidP="00F71D3B">
      <w:pPr>
        <w:pStyle w:val="20"/>
        <w:numPr>
          <w:ilvl w:val="0"/>
          <w:numId w:val="32"/>
        </w:numPr>
        <w:snapToGrid w:val="0"/>
        <w:spacing w:beforeLines="0" w:afterLines="0" w:line="360" w:lineRule="auto"/>
        <w:ind w:firstLineChars="0"/>
        <w:rPr>
          <w:rFonts w:asciiTheme="minorEastAsia" w:eastAsiaTheme="minorEastAsia" w:hAnsiTheme="minorEastAsia" w:cs="Arial"/>
          <w:b w:val="0"/>
          <w:color w:val="000000" w:themeColor="text1"/>
        </w:rPr>
      </w:pPr>
      <w:r w:rsidRPr="00286323">
        <w:rPr>
          <w:rFonts w:asciiTheme="minorEastAsia" w:eastAsiaTheme="minorEastAsia" w:hAnsiTheme="minorEastAsia" w:cs="Arial"/>
          <w:b w:val="0"/>
          <w:color w:val="000000" w:themeColor="text1"/>
        </w:rPr>
        <w:t>投资范围</w:t>
      </w:r>
    </w:p>
    <w:p w:rsidR="001A7CDB" w:rsidRPr="00286323" w:rsidRDefault="001A7CDB" w:rsidP="00F71D3B">
      <w:pPr>
        <w:snapToGrid w:val="0"/>
        <w:spacing w:line="360" w:lineRule="auto"/>
        <w:ind w:firstLine="48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本基金的投资范围为具有良好流动性的金融工具，包括国内依法发行上市的股票</w:t>
      </w:r>
      <w:r w:rsidRPr="00286323">
        <w:rPr>
          <w:rFonts w:asciiTheme="minorEastAsia" w:eastAsiaTheme="minorEastAsia" w:hAnsiTheme="minorEastAsia" w:hint="eastAsia"/>
          <w:bCs/>
          <w:color w:val="000000" w:themeColor="text1"/>
        </w:rPr>
        <w:t>（含中小板、创业板及其他经中国证监会核准</w:t>
      </w:r>
      <w:r w:rsidR="00F76EEB" w:rsidRPr="00286323">
        <w:rPr>
          <w:rFonts w:asciiTheme="minorEastAsia" w:eastAsiaTheme="minorEastAsia" w:hAnsiTheme="minorEastAsia" w:hint="eastAsia"/>
          <w:bCs/>
          <w:color w:val="000000" w:themeColor="text1"/>
        </w:rPr>
        <w:t>或注册上市的股票、存托凭证</w:t>
      </w:r>
      <w:r w:rsidRPr="00286323">
        <w:rPr>
          <w:rFonts w:asciiTheme="minorEastAsia" w:eastAsiaTheme="minorEastAsia" w:hAnsiTheme="minorEastAsia" w:hint="eastAsia"/>
          <w:bCs/>
          <w:color w:val="000000" w:themeColor="text1"/>
        </w:rPr>
        <w:t>）、权证等权益类品种，国债、央行票据、金融债、企业债、公司债、中期票据、短期融资券、可转换债券（含分离型可转换债券）、资产支持证券、债券回购、银行存款等固定收益类品种，股指期货以及法律法规或中国证监会允许基金投资的其他金融工具，但须符合中国证监会相关规定。</w:t>
      </w:r>
    </w:p>
    <w:p w:rsidR="00ED0546" w:rsidRPr="00286323" w:rsidRDefault="00ED0546" w:rsidP="00F71D3B">
      <w:pPr>
        <w:snapToGrid w:val="0"/>
        <w:spacing w:line="360" w:lineRule="auto"/>
        <w:ind w:firstLine="48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本基金根据相关法律法规或中国证监会要求履行相关手续后，还可以投资于法律法规或中国证监会未来允许基金投资的其它金融工具。</w:t>
      </w:r>
    </w:p>
    <w:p w:rsidR="00ED0546" w:rsidRPr="00286323" w:rsidRDefault="00ED0546" w:rsidP="00F71D3B">
      <w:pPr>
        <w:snapToGrid w:val="0"/>
        <w:spacing w:line="360" w:lineRule="auto"/>
        <w:ind w:firstLine="48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本基金的投资组合比例为：</w:t>
      </w:r>
    </w:p>
    <w:p w:rsidR="00ED0546" w:rsidRPr="00286323" w:rsidRDefault="00ED0546" w:rsidP="00F71D3B">
      <w:pPr>
        <w:snapToGrid w:val="0"/>
        <w:spacing w:line="360" w:lineRule="auto"/>
        <w:ind w:firstLine="48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股票投资比例不低于基金资产的</w:t>
      </w:r>
      <w:r w:rsidRPr="00286323">
        <w:rPr>
          <w:rFonts w:asciiTheme="minorEastAsia" w:eastAsiaTheme="minorEastAsia" w:hAnsiTheme="minorEastAsia"/>
          <w:bCs/>
          <w:color w:val="000000" w:themeColor="text1"/>
        </w:rPr>
        <w:t>90%</w:t>
      </w:r>
      <w:r w:rsidRPr="00286323">
        <w:rPr>
          <w:rFonts w:asciiTheme="minorEastAsia" w:eastAsiaTheme="minorEastAsia" w:hAnsiTheme="minorEastAsia" w:hint="eastAsia"/>
          <w:bCs/>
          <w:color w:val="000000" w:themeColor="text1"/>
        </w:rPr>
        <w:t>，其中投资于标的指数成份股和备选成份股的资产不低于股票资产的</w:t>
      </w:r>
      <w:r w:rsidRPr="00286323">
        <w:rPr>
          <w:rFonts w:asciiTheme="minorEastAsia" w:eastAsiaTheme="minorEastAsia" w:hAnsiTheme="minorEastAsia"/>
          <w:bCs/>
          <w:color w:val="000000" w:themeColor="text1"/>
        </w:rPr>
        <w:t>80%</w:t>
      </w:r>
      <w:r w:rsidRPr="00286323">
        <w:rPr>
          <w:rFonts w:asciiTheme="minorEastAsia" w:eastAsiaTheme="minorEastAsia" w:hAnsiTheme="minorEastAsia" w:hint="eastAsia"/>
          <w:bCs/>
          <w:color w:val="000000" w:themeColor="text1"/>
        </w:rPr>
        <w:t>；现金或者到期日在一年以内的政府债券不低于基金资产的</w:t>
      </w:r>
      <w:r w:rsidRPr="00286323">
        <w:rPr>
          <w:rFonts w:asciiTheme="minorEastAsia" w:eastAsiaTheme="minorEastAsia" w:hAnsiTheme="minorEastAsia"/>
          <w:bCs/>
          <w:color w:val="000000" w:themeColor="text1"/>
        </w:rPr>
        <w:t>5%</w:t>
      </w:r>
      <w:r w:rsidR="00D47511" w:rsidRPr="00286323">
        <w:rPr>
          <w:rFonts w:asciiTheme="minorEastAsia" w:eastAsiaTheme="minorEastAsia" w:hAnsiTheme="minorEastAsia" w:hint="eastAsia"/>
          <w:bCs/>
          <w:color w:val="000000" w:themeColor="text1"/>
        </w:rPr>
        <w:t>，现金不包括结算备付金、存出保证金、应收申购款等</w:t>
      </w:r>
      <w:r w:rsidRPr="00286323">
        <w:rPr>
          <w:rFonts w:asciiTheme="minorEastAsia" w:eastAsiaTheme="minorEastAsia" w:hAnsiTheme="minorEastAsia" w:hint="eastAsia"/>
          <w:bCs/>
          <w:color w:val="000000" w:themeColor="text1"/>
        </w:rPr>
        <w:t>。</w:t>
      </w:r>
    </w:p>
    <w:p w:rsidR="001A7CDB" w:rsidRPr="00286323" w:rsidRDefault="001A7CDB" w:rsidP="00F71D3B">
      <w:pPr>
        <w:snapToGrid w:val="0"/>
        <w:spacing w:line="360" w:lineRule="auto"/>
        <w:ind w:firstLine="480"/>
        <w:rPr>
          <w:rFonts w:asciiTheme="minorEastAsia" w:eastAsiaTheme="minorEastAsia" w:hAnsiTheme="minorEastAsia" w:cs="Arial"/>
          <w:color w:val="000000" w:themeColor="text1"/>
        </w:rPr>
      </w:pPr>
      <w:r w:rsidRPr="00286323">
        <w:rPr>
          <w:rFonts w:asciiTheme="minorEastAsia" w:eastAsiaTheme="minorEastAsia" w:hAnsiTheme="minorEastAsia" w:hint="eastAsia"/>
          <w:bCs/>
          <w:color w:val="000000" w:themeColor="text1"/>
        </w:rPr>
        <w:t>若法律法规的相关规定发生变更或监管机构允许，本基金管理人在履行适当程序后，可对上述资产配置比例进行调整。</w:t>
      </w:r>
    </w:p>
    <w:p w:rsidR="001A7CDB" w:rsidRPr="00286323" w:rsidRDefault="001A7CDB" w:rsidP="00F71D3B">
      <w:pPr>
        <w:pStyle w:val="20"/>
        <w:numPr>
          <w:ilvl w:val="0"/>
          <w:numId w:val="32"/>
        </w:numPr>
        <w:snapToGrid w:val="0"/>
        <w:spacing w:beforeLines="0" w:afterLines="0" w:line="360" w:lineRule="auto"/>
        <w:ind w:firstLineChars="0"/>
        <w:rPr>
          <w:rFonts w:asciiTheme="minorEastAsia" w:eastAsiaTheme="minorEastAsia" w:hAnsiTheme="minorEastAsia" w:cs="Arial"/>
          <w:b w:val="0"/>
          <w:color w:val="000000" w:themeColor="text1"/>
        </w:rPr>
      </w:pPr>
      <w:r w:rsidRPr="00286323">
        <w:rPr>
          <w:rFonts w:asciiTheme="minorEastAsia" w:eastAsiaTheme="minorEastAsia" w:hAnsiTheme="minorEastAsia" w:cs="Arial"/>
          <w:b w:val="0"/>
          <w:color w:val="000000" w:themeColor="text1"/>
        </w:rPr>
        <w:t>投资理念</w:t>
      </w:r>
    </w:p>
    <w:p w:rsidR="001A7CDB" w:rsidRPr="00286323" w:rsidRDefault="00E25512"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hint="eastAsia"/>
          <w:bCs/>
          <w:color w:val="000000" w:themeColor="text1"/>
        </w:rPr>
        <w:t>指数增强型投资是追求投资风险、收益和成本最佳匹配的有效途径。运用数量化投资技术可以提高指数化投资的绩效，在控制与标的指数偏离风险的前提下追求超越指数的收益。</w:t>
      </w:r>
    </w:p>
    <w:p w:rsidR="001A7CDB" w:rsidRPr="00286323" w:rsidRDefault="001A7CDB" w:rsidP="00F71D3B">
      <w:pPr>
        <w:pStyle w:val="20"/>
        <w:numPr>
          <w:ilvl w:val="0"/>
          <w:numId w:val="32"/>
        </w:numPr>
        <w:snapToGrid w:val="0"/>
        <w:spacing w:beforeLines="0" w:afterLines="0" w:line="360" w:lineRule="auto"/>
        <w:ind w:firstLineChars="0"/>
        <w:rPr>
          <w:rFonts w:asciiTheme="minorEastAsia" w:eastAsiaTheme="minorEastAsia" w:hAnsiTheme="minorEastAsia" w:cs="Arial"/>
          <w:b w:val="0"/>
          <w:color w:val="000000" w:themeColor="text1"/>
        </w:rPr>
      </w:pPr>
      <w:r w:rsidRPr="00286323">
        <w:rPr>
          <w:rFonts w:asciiTheme="minorEastAsia" w:eastAsiaTheme="minorEastAsia" w:hAnsiTheme="minorEastAsia" w:cs="Arial"/>
          <w:b w:val="0"/>
          <w:color w:val="000000" w:themeColor="text1"/>
        </w:rPr>
        <w:t>投资策略</w:t>
      </w:r>
    </w:p>
    <w:p w:rsidR="00787649" w:rsidRPr="00286323" w:rsidRDefault="00787649"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本基金以指数化投资为主、增强型投资为辅，在复制标的指数基础上在一定范围调整个股权重，力求在控制与标的指数偏离风险前提下超越指数。</w:t>
      </w:r>
    </w:p>
    <w:p w:rsidR="00787649" w:rsidRPr="00286323" w:rsidRDefault="002A7F64"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1</w:t>
      </w:r>
      <w:r w:rsidRPr="00286323">
        <w:rPr>
          <w:rFonts w:asciiTheme="minorEastAsia" w:eastAsiaTheme="minorEastAsia" w:hAnsiTheme="minorEastAsia"/>
          <w:bCs/>
          <w:color w:val="000000" w:themeColor="text1"/>
        </w:rPr>
        <w:t>、</w:t>
      </w:r>
      <w:r w:rsidR="00787649" w:rsidRPr="00286323">
        <w:rPr>
          <w:rFonts w:asciiTheme="minorEastAsia" w:eastAsiaTheme="minorEastAsia" w:hAnsiTheme="minorEastAsia" w:hint="eastAsia"/>
          <w:bCs/>
          <w:color w:val="000000" w:themeColor="text1"/>
        </w:rPr>
        <w:t>资产配置策略</w:t>
      </w:r>
    </w:p>
    <w:p w:rsidR="00787649" w:rsidRPr="00286323" w:rsidRDefault="00787649"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本基金追求基金资产在股票市场上的充分投资，股票投资比例不低于基金资产净值的90%。</w:t>
      </w:r>
    </w:p>
    <w:p w:rsidR="00787649" w:rsidRPr="00286323" w:rsidRDefault="002A7F64"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2</w:t>
      </w:r>
      <w:r w:rsidRPr="00286323">
        <w:rPr>
          <w:rFonts w:asciiTheme="minorEastAsia" w:eastAsiaTheme="minorEastAsia" w:hAnsiTheme="minorEastAsia"/>
          <w:bCs/>
          <w:color w:val="000000" w:themeColor="text1"/>
        </w:rPr>
        <w:t>、</w:t>
      </w:r>
      <w:r w:rsidR="00787649" w:rsidRPr="00286323">
        <w:rPr>
          <w:rFonts w:asciiTheme="minorEastAsia" w:eastAsiaTheme="minorEastAsia" w:hAnsiTheme="minorEastAsia" w:hint="eastAsia"/>
          <w:bCs/>
          <w:color w:val="000000" w:themeColor="text1"/>
        </w:rPr>
        <w:t>股票</w:t>
      </w:r>
      <w:r w:rsidR="00F76EEB" w:rsidRPr="00286323">
        <w:rPr>
          <w:rFonts w:asciiTheme="minorEastAsia" w:eastAsiaTheme="minorEastAsia" w:hAnsiTheme="minorEastAsia" w:hint="eastAsia"/>
          <w:bCs/>
          <w:color w:val="000000" w:themeColor="text1"/>
        </w:rPr>
        <w:t>（含存托凭证）</w:t>
      </w:r>
      <w:r w:rsidR="00787649" w:rsidRPr="00286323">
        <w:rPr>
          <w:rFonts w:asciiTheme="minorEastAsia" w:eastAsiaTheme="minorEastAsia" w:hAnsiTheme="minorEastAsia" w:hint="eastAsia"/>
          <w:bCs/>
          <w:color w:val="000000" w:themeColor="text1"/>
        </w:rPr>
        <w:t>投资策略</w:t>
      </w:r>
    </w:p>
    <w:p w:rsidR="00787649" w:rsidRPr="00286323" w:rsidRDefault="00787649"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本基金属指数增强型基金，策略上以指数化投资为主、增强型投资为辅。</w:t>
      </w:r>
    </w:p>
    <w:p w:rsidR="00787649" w:rsidRPr="00286323" w:rsidRDefault="00787649"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lastRenderedPageBreak/>
        <w:t>本基金主要策略为复制标的指数，投资组合将以标的指数的构成为基础，主要利用基金管理人自主开发的定量投资模型在有限范围内进行超配或低配。一方面严格控制组合跟踪误差，避免大幅偏离标的指数，另一方面在跟踪指数的基础上力求超越指数。</w:t>
      </w:r>
    </w:p>
    <w:p w:rsidR="00787649" w:rsidRPr="00286323" w:rsidRDefault="00787649" w:rsidP="00F71D3B">
      <w:pPr>
        <w:snapToGrid w:val="0"/>
        <w:spacing w:line="360" w:lineRule="auto"/>
        <w:ind w:left="140" w:right="83" w:firstLine="48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spacing w:val="5"/>
        </w:rPr>
        <w:t>基金管理人自主开发的定量投资模型充分借鉴国内外定量</w:t>
      </w:r>
      <w:r w:rsidRPr="00286323">
        <w:rPr>
          <w:rFonts w:asciiTheme="minorEastAsia" w:eastAsiaTheme="minorEastAsia" w:hAnsiTheme="minorEastAsia" w:hint="eastAsia"/>
          <w:color w:val="000000" w:themeColor="text1"/>
        </w:rPr>
        <w:t>分</w:t>
      </w:r>
      <w:r w:rsidRPr="00286323">
        <w:rPr>
          <w:rFonts w:asciiTheme="minorEastAsia" w:eastAsiaTheme="minorEastAsia" w:hAnsiTheme="minorEastAsia" w:hint="eastAsia"/>
          <w:color w:val="000000" w:themeColor="text1"/>
          <w:spacing w:val="5"/>
        </w:rPr>
        <w:t>析</w:t>
      </w:r>
      <w:r w:rsidRPr="00286323">
        <w:rPr>
          <w:rFonts w:asciiTheme="minorEastAsia" w:eastAsiaTheme="minorEastAsia" w:hAnsiTheme="minorEastAsia" w:hint="eastAsia"/>
          <w:color w:val="000000" w:themeColor="text1"/>
          <w:spacing w:val="6"/>
        </w:rPr>
        <w:t>的</w:t>
      </w:r>
      <w:r w:rsidRPr="00286323">
        <w:rPr>
          <w:rFonts w:asciiTheme="minorEastAsia" w:eastAsiaTheme="minorEastAsia" w:hAnsiTheme="minorEastAsia" w:hint="eastAsia"/>
          <w:color w:val="000000" w:themeColor="text1"/>
          <w:spacing w:val="5"/>
        </w:rPr>
        <w:t>研究成果，结合基金管理人的长期研究与实践应用，利用多因</w:t>
      </w:r>
      <w:r w:rsidRPr="00286323">
        <w:rPr>
          <w:rFonts w:asciiTheme="minorEastAsia" w:eastAsiaTheme="minorEastAsia" w:hAnsiTheme="minorEastAsia" w:hint="eastAsia"/>
          <w:color w:val="000000" w:themeColor="text1"/>
        </w:rPr>
        <w:t>子量化模型预测股票超额回报</w:t>
      </w:r>
      <w:r w:rsidRPr="00286323">
        <w:rPr>
          <w:rFonts w:asciiTheme="minorEastAsia" w:eastAsiaTheme="minorEastAsia" w:hAnsiTheme="minorEastAsia" w:hint="eastAsia"/>
          <w:color w:val="000000" w:themeColor="text1"/>
          <w:spacing w:val="-34"/>
        </w:rPr>
        <w:t>，</w:t>
      </w:r>
      <w:r w:rsidRPr="00286323">
        <w:rPr>
          <w:rFonts w:asciiTheme="minorEastAsia" w:eastAsiaTheme="minorEastAsia" w:hAnsiTheme="minorEastAsia" w:hint="eastAsia"/>
          <w:color w:val="000000" w:themeColor="text1"/>
        </w:rPr>
        <w:t>在有效风险控制及交易成本最低化的基础上优化投资组合。</w:t>
      </w:r>
    </w:p>
    <w:p w:rsidR="00787649" w:rsidRPr="00286323" w:rsidRDefault="002A7F64" w:rsidP="00F71D3B">
      <w:pPr>
        <w:snapToGrid w:val="0"/>
        <w:spacing w:line="360" w:lineRule="auto"/>
        <w:ind w:left="140" w:right="83" w:firstLine="480"/>
        <w:rPr>
          <w:rFonts w:asciiTheme="minorEastAsia" w:eastAsiaTheme="minorEastAsia" w:hAnsiTheme="minorEastAsia"/>
          <w:color w:val="000000" w:themeColor="text1"/>
        </w:rPr>
      </w:pP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1</w:t>
      </w:r>
      <w:r w:rsidRPr="00286323">
        <w:rPr>
          <w:rFonts w:asciiTheme="minorEastAsia" w:eastAsiaTheme="minorEastAsia" w:hAnsiTheme="minorEastAsia" w:hint="eastAsia"/>
          <w:bCs/>
          <w:color w:val="000000" w:themeColor="text1"/>
        </w:rPr>
        <w:t>）</w:t>
      </w:r>
      <w:r w:rsidR="00787649" w:rsidRPr="00286323">
        <w:rPr>
          <w:rFonts w:asciiTheme="minorEastAsia" w:eastAsiaTheme="minorEastAsia" w:hAnsiTheme="minorEastAsia" w:hint="eastAsia"/>
          <w:color w:val="000000" w:themeColor="text1"/>
        </w:rPr>
        <w:t>多因子量化模型</w:t>
      </w:r>
      <w:r w:rsidR="00787649" w:rsidRPr="00286323">
        <w:rPr>
          <w:rFonts w:asciiTheme="minorEastAsia" w:eastAsiaTheme="minorEastAsia" w:hAnsiTheme="minorEastAsia"/>
          <w:color w:val="000000" w:themeColor="text1"/>
        </w:rPr>
        <w:t>——</w:t>
      </w:r>
      <w:r w:rsidR="00787649" w:rsidRPr="00286323">
        <w:rPr>
          <w:rFonts w:asciiTheme="minorEastAsia" w:eastAsiaTheme="minorEastAsia" w:hAnsiTheme="minorEastAsia" w:hint="eastAsia"/>
          <w:color w:val="000000" w:themeColor="text1"/>
        </w:rPr>
        <w:t>股票超额回报预测</w:t>
      </w:r>
    </w:p>
    <w:p w:rsidR="00787649" w:rsidRPr="00286323" w:rsidRDefault="00787649" w:rsidP="00F71D3B">
      <w:pPr>
        <w:snapToGrid w:val="0"/>
        <w:spacing w:line="360" w:lineRule="auto"/>
        <w:ind w:left="140" w:right="83" w:firstLine="48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多因子量化模型以对中国股票市场的长期研究为基础，一定程度上结合前瞻性市场判断，运用经长期检验有效的多个因子捕捉市场机会，预测个股的超额收益。概括来讲，本基金的多因子量化模型的因子可归为如下几类</w:t>
      </w:r>
      <w:r w:rsidRPr="00286323">
        <w:rPr>
          <w:rFonts w:asciiTheme="minorEastAsia" w:eastAsiaTheme="minorEastAsia" w:hAnsiTheme="minorEastAsia"/>
          <w:color w:val="000000" w:themeColor="text1"/>
        </w:rPr>
        <w:t>:</w:t>
      </w:r>
      <w:r w:rsidRPr="00286323">
        <w:rPr>
          <w:rFonts w:asciiTheme="minorEastAsia" w:eastAsiaTheme="minorEastAsia" w:hAnsiTheme="minorEastAsia" w:hint="eastAsia"/>
          <w:color w:val="000000" w:themeColor="text1"/>
        </w:rPr>
        <w:t>估值（</w:t>
      </w:r>
      <w:r w:rsidRPr="00286323">
        <w:rPr>
          <w:rFonts w:asciiTheme="minorEastAsia" w:eastAsiaTheme="minorEastAsia" w:hAnsiTheme="minorEastAsia"/>
          <w:color w:val="000000" w:themeColor="text1"/>
        </w:rPr>
        <w:t>valuation</w:t>
      </w:r>
      <w:r w:rsidRPr="00286323">
        <w:rPr>
          <w:rFonts w:asciiTheme="minorEastAsia" w:eastAsiaTheme="minorEastAsia" w:hAnsiTheme="minorEastAsia" w:hint="eastAsia"/>
          <w:color w:val="000000" w:themeColor="text1"/>
        </w:rPr>
        <w:t>）</w:t>
      </w:r>
      <w:r w:rsidRPr="00286323">
        <w:rPr>
          <w:rFonts w:asciiTheme="minorEastAsia" w:eastAsiaTheme="minorEastAsia" w:hAnsiTheme="minorEastAsia"/>
          <w:color w:val="000000" w:themeColor="text1"/>
        </w:rPr>
        <w:t>,</w:t>
      </w:r>
      <w:r w:rsidRPr="00286323">
        <w:rPr>
          <w:rFonts w:asciiTheme="minorEastAsia" w:eastAsiaTheme="minorEastAsia" w:hAnsiTheme="minorEastAsia" w:hint="eastAsia"/>
          <w:color w:val="000000" w:themeColor="text1"/>
        </w:rPr>
        <w:t>成长（</w:t>
      </w:r>
      <w:r w:rsidRPr="00286323">
        <w:rPr>
          <w:rFonts w:asciiTheme="minorEastAsia" w:eastAsiaTheme="minorEastAsia" w:hAnsiTheme="minorEastAsia"/>
          <w:color w:val="000000" w:themeColor="text1"/>
        </w:rPr>
        <w:t>growth</w:t>
      </w:r>
      <w:r w:rsidRPr="00286323">
        <w:rPr>
          <w:rFonts w:asciiTheme="minorEastAsia" w:eastAsiaTheme="minorEastAsia" w:hAnsiTheme="minorEastAsia" w:hint="eastAsia"/>
          <w:color w:val="000000" w:themeColor="text1"/>
        </w:rPr>
        <w:t>）</w:t>
      </w:r>
      <w:r w:rsidRPr="00286323">
        <w:rPr>
          <w:rFonts w:asciiTheme="minorEastAsia" w:eastAsiaTheme="minorEastAsia" w:hAnsiTheme="minorEastAsia"/>
          <w:color w:val="000000" w:themeColor="text1"/>
        </w:rPr>
        <w:t>,</w:t>
      </w:r>
      <w:r w:rsidRPr="00286323">
        <w:rPr>
          <w:rFonts w:asciiTheme="minorEastAsia" w:eastAsiaTheme="minorEastAsia" w:hAnsiTheme="minorEastAsia" w:hint="eastAsia"/>
          <w:color w:val="000000" w:themeColor="text1"/>
        </w:rPr>
        <w:t>技术（technical），情绪（</w:t>
      </w:r>
      <w:r w:rsidRPr="00286323">
        <w:rPr>
          <w:rFonts w:asciiTheme="minorEastAsia" w:eastAsiaTheme="minorEastAsia" w:hAnsiTheme="minorEastAsia"/>
          <w:color w:val="000000" w:themeColor="text1"/>
        </w:rPr>
        <w:t>sentiment</w:t>
      </w:r>
      <w:r w:rsidRPr="00286323">
        <w:rPr>
          <w:rFonts w:asciiTheme="minorEastAsia" w:eastAsiaTheme="minorEastAsia" w:hAnsiTheme="minorEastAsia" w:hint="eastAsia"/>
          <w:color w:val="000000" w:themeColor="text1"/>
        </w:rPr>
        <w:t>）</w:t>
      </w:r>
      <w:r w:rsidRPr="00286323">
        <w:rPr>
          <w:rFonts w:asciiTheme="minorEastAsia" w:eastAsiaTheme="minorEastAsia" w:hAnsiTheme="minorEastAsia"/>
          <w:color w:val="000000" w:themeColor="text1"/>
        </w:rPr>
        <w:t>,</w:t>
      </w:r>
      <w:r w:rsidRPr="00286323">
        <w:rPr>
          <w:rFonts w:asciiTheme="minorEastAsia" w:eastAsiaTheme="minorEastAsia" w:hAnsiTheme="minorEastAsia" w:hint="eastAsia"/>
          <w:color w:val="000000" w:themeColor="text1"/>
        </w:rPr>
        <w:t>质量（</w:t>
      </w:r>
      <w:r w:rsidRPr="00286323">
        <w:rPr>
          <w:rFonts w:asciiTheme="minorEastAsia" w:eastAsiaTheme="minorEastAsia" w:hAnsiTheme="minorEastAsia"/>
          <w:color w:val="000000" w:themeColor="text1"/>
        </w:rPr>
        <w:t>quality</w:t>
      </w:r>
      <w:r w:rsidRPr="00286323">
        <w:rPr>
          <w:rFonts w:asciiTheme="minorEastAsia" w:eastAsiaTheme="minorEastAsia" w:hAnsiTheme="minorEastAsia" w:hint="eastAsia"/>
          <w:color w:val="000000" w:themeColor="text1"/>
        </w:rPr>
        <w:t>）等。</w:t>
      </w:r>
    </w:p>
    <w:p w:rsidR="00787649" w:rsidRPr="00286323" w:rsidRDefault="00787649" w:rsidP="00F71D3B">
      <w:pPr>
        <w:snapToGrid w:val="0"/>
        <w:spacing w:line="360" w:lineRule="auto"/>
        <w:ind w:left="140" w:right="83" w:firstLine="48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多因子量化模型利用基金管理人内部及外部数据库，综合了来自市场投资者、公司财务报表、证券分析师、政经政策等各方面的大量信息。基金经理根据市场状况及变化对各类信息的重要性做出分析判断，适时调整各因子类别的具体组成及权重。</w:t>
      </w:r>
    </w:p>
    <w:p w:rsidR="00787649" w:rsidRPr="00286323" w:rsidRDefault="002A7F64" w:rsidP="00F71D3B">
      <w:pPr>
        <w:snapToGrid w:val="0"/>
        <w:spacing w:line="360" w:lineRule="auto"/>
        <w:ind w:left="140" w:right="83" w:firstLine="480"/>
        <w:rPr>
          <w:rFonts w:asciiTheme="minorEastAsia" w:eastAsiaTheme="minorEastAsia" w:hAnsiTheme="minorEastAsia"/>
          <w:color w:val="000000" w:themeColor="text1"/>
        </w:rPr>
      </w:pPr>
      <w:r w:rsidRPr="00286323">
        <w:rPr>
          <w:rFonts w:asciiTheme="minorEastAsia" w:eastAsiaTheme="minorEastAsia" w:hAnsiTheme="minorEastAsia" w:hint="eastAsia"/>
          <w:bCs/>
          <w:color w:val="000000" w:themeColor="text1"/>
        </w:rPr>
        <w:t>（2）</w:t>
      </w:r>
      <w:r w:rsidR="00787649" w:rsidRPr="00286323">
        <w:rPr>
          <w:rFonts w:asciiTheme="minorEastAsia" w:eastAsiaTheme="minorEastAsia" w:hAnsiTheme="minorEastAsia" w:hint="eastAsia"/>
          <w:color w:val="000000" w:themeColor="text1"/>
        </w:rPr>
        <w:t>风险估测模型</w:t>
      </w:r>
      <w:r w:rsidR="00787649" w:rsidRPr="00286323">
        <w:rPr>
          <w:rFonts w:asciiTheme="minorEastAsia" w:eastAsiaTheme="minorEastAsia" w:hAnsiTheme="minorEastAsia"/>
          <w:color w:val="000000" w:themeColor="text1"/>
        </w:rPr>
        <w:t>——</w:t>
      </w:r>
      <w:r w:rsidR="00787649" w:rsidRPr="00286323">
        <w:rPr>
          <w:rFonts w:asciiTheme="minorEastAsia" w:eastAsiaTheme="minorEastAsia" w:hAnsiTheme="minorEastAsia" w:hint="eastAsia"/>
          <w:color w:val="000000" w:themeColor="text1"/>
        </w:rPr>
        <w:t>有效控制风险预算</w:t>
      </w:r>
    </w:p>
    <w:p w:rsidR="00787649" w:rsidRPr="00286323" w:rsidRDefault="00787649" w:rsidP="00F71D3B">
      <w:pPr>
        <w:snapToGrid w:val="0"/>
        <w:spacing w:line="360" w:lineRule="auto"/>
        <w:ind w:left="140" w:right="83" w:firstLine="48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指数化投资力求跟踪误差最小，增强型投资则需要受风险预算的约束。风险预算即最大容忍跟踪误差。本基金将结合市场通用及自主研发的风险估测模型，将投资组合风险控制在预算范围内。本基金采取“跟踪误差”和“跟踪偏离度”这两个指标对投资组合进行监控与评估，以控制投资组合相对于标的指数的偏离风险。</w:t>
      </w:r>
    </w:p>
    <w:p w:rsidR="00787649" w:rsidRPr="00286323" w:rsidRDefault="00787649" w:rsidP="00F71D3B">
      <w:pPr>
        <w:snapToGrid w:val="0"/>
        <w:spacing w:line="360" w:lineRule="auto"/>
        <w:ind w:left="140" w:right="83" w:firstLine="48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本基金对标的指数的跟踪目标是：力争使基金净值增长率与业绩比较基准之间的日均跟踪偏离度的绝对值不超过</w:t>
      </w:r>
      <w:r w:rsidRPr="00286323">
        <w:rPr>
          <w:rFonts w:asciiTheme="minorEastAsia" w:eastAsiaTheme="minorEastAsia" w:hAnsiTheme="minorEastAsia"/>
          <w:color w:val="000000" w:themeColor="text1"/>
        </w:rPr>
        <w:t>0.5%</w:t>
      </w:r>
      <w:r w:rsidRPr="00286323">
        <w:rPr>
          <w:rFonts w:asciiTheme="minorEastAsia" w:eastAsiaTheme="minorEastAsia" w:hAnsiTheme="minorEastAsia" w:hint="eastAsia"/>
          <w:color w:val="000000" w:themeColor="text1"/>
        </w:rPr>
        <w:t>，年化跟踪误差不超过</w:t>
      </w:r>
      <w:r w:rsidRPr="00286323">
        <w:rPr>
          <w:rFonts w:asciiTheme="minorEastAsia" w:eastAsiaTheme="minorEastAsia" w:hAnsiTheme="minorEastAsia"/>
          <w:color w:val="000000" w:themeColor="text1"/>
        </w:rPr>
        <w:t>7%</w:t>
      </w:r>
      <w:r w:rsidRPr="00286323">
        <w:rPr>
          <w:rFonts w:asciiTheme="minorEastAsia" w:eastAsiaTheme="minorEastAsia" w:hAnsiTheme="minorEastAsia" w:hint="eastAsia"/>
          <w:color w:val="000000" w:themeColor="text1"/>
        </w:rPr>
        <w:t>。</w:t>
      </w:r>
    </w:p>
    <w:p w:rsidR="00787649" w:rsidRPr="00286323" w:rsidRDefault="002A7F64" w:rsidP="00F71D3B">
      <w:pPr>
        <w:snapToGrid w:val="0"/>
        <w:spacing w:line="360" w:lineRule="auto"/>
        <w:ind w:left="140" w:right="83" w:firstLine="480"/>
        <w:rPr>
          <w:rFonts w:asciiTheme="minorEastAsia" w:eastAsiaTheme="minorEastAsia" w:hAnsiTheme="minorEastAsia"/>
          <w:color w:val="000000" w:themeColor="text1"/>
        </w:rPr>
      </w:pPr>
      <w:r w:rsidRPr="00286323">
        <w:rPr>
          <w:rFonts w:asciiTheme="minorEastAsia" w:eastAsiaTheme="minorEastAsia" w:hAnsiTheme="minorEastAsia" w:hint="eastAsia"/>
          <w:bCs/>
          <w:color w:val="000000" w:themeColor="text1"/>
        </w:rPr>
        <w:t>（3）</w:t>
      </w:r>
      <w:r w:rsidR="00787649" w:rsidRPr="00286323">
        <w:rPr>
          <w:rFonts w:asciiTheme="minorEastAsia" w:eastAsiaTheme="minorEastAsia" w:hAnsiTheme="minorEastAsia" w:hint="eastAsia"/>
          <w:color w:val="000000" w:themeColor="text1"/>
        </w:rPr>
        <w:t>交易成本模型</w:t>
      </w:r>
      <w:r w:rsidR="00787649" w:rsidRPr="00286323">
        <w:rPr>
          <w:rFonts w:asciiTheme="minorEastAsia" w:eastAsiaTheme="minorEastAsia" w:hAnsiTheme="minorEastAsia"/>
          <w:color w:val="000000" w:themeColor="text1"/>
        </w:rPr>
        <w:t>——</w:t>
      </w:r>
      <w:r w:rsidR="00787649" w:rsidRPr="00286323">
        <w:rPr>
          <w:rFonts w:asciiTheme="minorEastAsia" w:eastAsiaTheme="minorEastAsia" w:hAnsiTheme="minorEastAsia" w:hint="eastAsia"/>
          <w:color w:val="000000" w:themeColor="text1"/>
        </w:rPr>
        <w:t>控制成本并保护业绩</w:t>
      </w:r>
    </w:p>
    <w:p w:rsidR="00787649" w:rsidRPr="00286323" w:rsidRDefault="00787649" w:rsidP="00F71D3B">
      <w:pPr>
        <w:snapToGrid w:val="0"/>
        <w:spacing w:line="360" w:lineRule="auto"/>
        <w:ind w:left="140" w:right="83" w:firstLine="48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本基金的交易成本模型既考虑固定成本，也考虑交易的市场冲击效应，以控制交易成本、减少交易对业绩带来的负面影响。</w:t>
      </w:r>
    </w:p>
    <w:p w:rsidR="00787649" w:rsidRPr="00286323" w:rsidRDefault="002A7F64" w:rsidP="00F71D3B">
      <w:pPr>
        <w:snapToGrid w:val="0"/>
        <w:spacing w:line="360" w:lineRule="auto"/>
        <w:ind w:left="140" w:right="83" w:firstLine="480"/>
        <w:rPr>
          <w:rFonts w:asciiTheme="minorEastAsia" w:eastAsiaTheme="minorEastAsia" w:hAnsiTheme="minorEastAsia"/>
          <w:color w:val="000000" w:themeColor="text1"/>
        </w:rPr>
      </w:pPr>
      <w:r w:rsidRPr="00286323">
        <w:rPr>
          <w:rFonts w:asciiTheme="minorEastAsia" w:eastAsiaTheme="minorEastAsia" w:hAnsiTheme="minorEastAsia" w:hint="eastAsia"/>
          <w:bCs/>
          <w:color w:val="000000" w:themeColor="text1"/>
        </w:rPr>
        <w:t>（4）</w:t>
      </w:r>
      <w:r w:rsidR="00787649" w:rsidRPr="00286323">
        <w:rPr>
          <w:rFonts w:asciiTheme="minorEastAsia" w:eastAsiaTheme="minorEastAsia" w:hAnsiTheme="minorEastAsia" w:hint="eastAsia"/>
          <w:color w:val="000000" w:themeColor="text1"/>
        </w:rPr>
        <w:t>投资组合优化模型</w:t>
      </w:r>
    </w:p>
    <w:p w:rsidR="00787649" w:rsidRPr="00286323" w:rsidRDefault="00787649" w:rsidP="00F71D3B">
      <w:pPr>
        <w:snapToGrid w:val="0"/>
        <w:spacing w:line="360" w:lineRule="auto"/>
        <w:ind w:left="140" w:right="83" w:firstLine="48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本基金将综合考虑预期回报，风险及交易成本进行投资组合优化。选股范围以成分股为主，也包括非成分股中与成分股相关性强，流动性好，基本面信息充足的股票。</w:t>
      </w:r>
    </w:p>
    <w:p w:rsidR="00F76EEB" w:rsidRPr="00286323" w:rsidRDefault="00F76EEB" w:rsidP="00F71D3B">
      <w:pPr>
        <w:snapToGrid w:val="0"/>
        <w:spacing w:line="360" w:lineRule="auto"/>
        <w:ind w:left="140" w:right="83" w:firstLine="48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为更好地实现投资目标，本基金可投资存托凭证。</w:t>
      </w:r>
    </w:p>
    <w:p w:rsidR="00787649" w:rsidRPr="00286323" w:rsidRDefault="002A7F64" w:rsidP="00F71D3B">
      <w:pPr>
        <w:snapToGrid w:val="0"/>
        <w:spacing w:line="360" w:lineRule="auto"/>
        <w:ind w:left="140" w:right="83" w:firstLine="480"/>
        <w:rPr>
          <w:rFonts w:asciiTheme="minorEastAsia" w:eastAsiaTheme="minorEastAsia" w:hAnsiTheme="minorEastAsia"/>
          <w:color w:val="000000" w:themeColor="text1"/>
        </w:rPr>
      </w:pPr>
      <w:r w:rsidRPr="00286323">
        <w:rPr>
          <w:rFonts w:asciiTheme="minorEastAsia" w:eastAsiaTheme="minorEastAsia" w:hAnsiTheme="minorEastAsia" w:hint="eastAsia"/>
          <w:bCs/>
          <w:color w:val="000000" w:themeColor="text1"/>
        </w:rPr>
        <w:t>3</w:t>
      </w:r>
      <w:r w:rsidRPr="00286323">
        <w:rPr>
          <w:rFonts w:asciiTheme="minorEastAsia" w:eastAsiaTheme="minorEastAsia" w:hAnsiTheme="minorEastAsia"/>
          <w:bCs/>
          <w:color w:val="000000" w:themeColor="text1"/>
        </w:rPr>
        <w:t>、</w:t>
      </w:r>
      <w:r w:rsidR="00787649" w:rsidRPr="00286323">
        <w:rPr>
          <w:rFonts w:asciiTheme="minorEastAsia" w:eastAsiaTheme="minorEastAsia" w:hAnsiTheme="minorEastAsia" w:hint="eastAsia"/>
          <w:color w:val="000000" w:themeColor="text1"/>
        </w:rPr>
        <w:t>其它投资策略</w:t>
      </w:r>
    </w:p>
    <w:p w:rsidR="001A7CDB" w:rsidRPr="00286323" w:rsidRDefault="00787649"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hint="eastAsia"/>
          <w:color w:val="000000" w:themeColor="text1"/>
        </w:rPr>
        <w:t>本基金将审慎投资于法律法规允许及中国证监会批准的其它金融工具，以降低基金资产的风险并提高基金的收益。</w:t>
      </w:r>
    </w:p>
    <w:p w:rsidR="00787649" w:rsidRPr="00286323" w:rsidRDefault="00787649" w:rsidP="00F71D3B">
      <w:pPr>
        <w:pStyle w:val="20"/>
        <w:numPr>
          <w:ilvl w:val="0"/>
          <w:numId w:val="32"/>
        </w:numPr>
        <w:snapToGrid w:val="0"/>
        <w:spacing w:beforeLines="0" w:afterLines="0" w:line="360" w:lineRule="auto"/>
        <w:ind w:firstLineChars="0"/>
        <w:rPr>
          <w:rFonts w:asciiTheme="minorEastAsia" w:eastAsiaTheme="minorEastAsia" w:hAnsiTheme="minorEastAsia" w:cs="Arial"/>
          <w:b w:val="0"/>
          <w:color w:val="000000" w:themeColor="text1"/>
        </w:rPr>
      </w:pPr>
      <w:r w:rsidRPr="00286323">
        <w:rPr>
          <w:rFonts w:asciiTheme="minorEastAsia" w:eastAsiaTheme="minorEastAsia" w:hAnsiTheme="minorEastAsia" w:cs="Arial" w:hint="eastAsia"/>
          <w:b w:val="0"/>
          <w:color w:val="000000" w:themeColor="text1"/>
        </w:rPr>
        <w:lastRenderedPageBreak/>
        <w:t>投资决策程序</w:t>
      </w:r>
    </w:p>
    <w:p w:rsidR="00787649" w:rsidRPr="00286323" w:rsidRDefault="00F35A38"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bCs/>
          <w:color w:val="000000" w:themeColor="text1"/>
        </w:rPr>
        <w:t>1</w:t>
      </w:r>
      <w:r w:rsidRPr="00286323">
        <w:rPr>
          <w:rFonts w:asciiTheme="minorEastAsia" w:eastAsiaTheme="minorEastAsia" w:hAnsiTheme="minorEastAsia"/>
          <w:bCs/>
          <w:color w:val="000000" w:themeColor="text1"/>
        </w:rPr>
        <w:t>、</w:t>
      </w:r>
      <w:r w:rsidR="00787649" w:rsidRPr="00286323">
        <w:rPr>
          <w:rFonts w:asciiTheme="minorEastAsia" w:eastAsiaTheme="minorEastAsia" w:hAnsiTheme="minorEastAsia" w:hint="eastAsia"/>
          <w:color w:val="000000" w:themeColor="text1"/>
        </w:rPr>
        <w:t>投资决策依据</w:t>
      </w:r>
    </w:p>
    <w:p w:rsidR="00787649" w:rsidRPr="00286323" w:rsidRDefault="00F35A38"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bCs/>
          <w:color w:val="000000" w:themeColor="text1"/>
        </w:rPr>
        <w:t>（1）</w:t>
      </w:r>
      <w:r w:rsidR="00787649" w:rsidRPr="00286323">
        <w:rPr>
          <w:rFonts w:asciiTheme="minorEastAsia" w:eastAsiaTheme="minorEastAsia" w:hAnsiTheme="minorEastAsia" w:hint="eastAsia"/>
          <w:color w:val="000000" w:themeColor="text1"/>
        </w:rPr>
        <w:t>法律、法规和《基金合同》的规定；</w:t>
      </w:r>
    </w:p>
    <w:p w:rsidR="00787649" w:rsidRPr="00286323" w:rsidRDefault="00F35A38"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bCs/>
          <w:color w:val="000000" w:themeColor="text1"/>
        </w:rPr>
        <w:t>（2）</w:t>
      </w:r>
      <w:r w:rsidR="00787649" w:rsidRPr="00286323">
        <w:rPr>
          <w:rFonts w:asciiTheme="minorEastAsia" w:eastAsiaTheme="minorEastAsia" w:hAnsiTheme="minorEastAsia" w:hint="eastAsia"/>
          <w:color w:val="000000" w:themeColor="text1"/>
        </w:rPr>
        <w:t>标的指数的编制方法及调整公告等；</w:t>
      </w:r>
    </w:p>
    <w:p w:rsidR="00787649" w:rsidRPr="00286323" w:rsidRDefault="00F35A38"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bCs/>
          <w:color w:val="000000" w:themeColor="text1"/>
        </w:rPr>
        <w:t>（3）</w:t>
      </w:r>
      <w:r w:rsidR="00787649" w:rsidRPr="00286323">
        <w:rPr>
          <w:rFonts w:asciiTheme="minorEastAsia" w:eastAsiaTheme="minorEastAsia" w:hAnsiTheme="minorEastAsia" w:hint="eastAsia"/>
          <w:color w:val="000000" w:themeColor="text1"/>
        </w:rPr>
        <w:t>基金管理人自主研发的多因子量化模型</w:t>
      </w:r>
      <w:r w:rsidR="001E45D5" w:rsidRPr="00286323">
        <w:rPr>
          <w:rFonts w:asciiTheme="minorEastAsia" w:eastAsiaTheme="minorEastAsia" w:hAnsiTheme="minorEastAsia" w:hint="eastAsia"/>
          <w:color w:val="000000" w:themeColor="text1"/>
        </w:rPr>
        <w:t>。</w:t>
      </w:r>
    </w:p>
    <w:p w:rsidR="00787649" w:rsidRPr="00286323" w:rsidRDefault="00F35A38"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bCs/>
          <w:color w:val="000000" w:themeColor="text1"/>
        </w:rPr>
        <w:t>2</w:t>
      </w:r>
      <w:r w:rsidRPr="00286323">
        <w:rPr>
          <w:rFonts w:asciiTheme="minorEastAsia" w:eastAsiaTheme="minorEastAsia" w:hAnsiTheme="minorEastAsia"/>
          <w:bCs/>
          <w:color w:val="000000" w:themeColor="text1"/>
        </w:rPr>
        <w:t>、</w:t>
      </w:r>
      <w:r w:rsidR="00787649" w:rsidRPr="00286323">
        <w:rPr>
          <w:rFonts w:asciiTheme="minorEastAsia" w:eastAsiaTheme="minorEastAsia" w:hAnsiTheme="minorEastAsia" w:hint="eastAsia"/>
          <w:color w:val="000000" w:themeColor="text1"/>
        </w:rPr>
        <w:t>投资决策流程</w:t>
      </w:r>
    </w:p>
    <w:p w:rsidR="00787649" w:rsidRPr="00286323" w:rsidRDefault="00F35A38"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bCs/>
          <w:color w:val="000000" w:themeColor="text1"/>
        </w:rPr>
        <w:t>（1）</w:t>
      </w:r>
      <w:r w:rsidR="00787649" w:rsidRPr="00286323">
        <w:rPr>
          <w:rFonts w:asciiTheme="minorEastAsia" w:eastAsiaTheme="minorEastAsia" w:hAnsiTheme="minorEastAsia" w:hint="eastAsia"/>
          <w:color w:val="000000" w:themeColor="text1"/>
        </w:rPr>
        <w:t>基金经理依据指数编制单位公布的指数成份股名单及权重，拟定基础投资组合方案。</w:t>
      </w:r>
    </w:p>
    <w:p w:rsidR="00787649" w:rsidRPr="00286323" w:rsidRDefault="00F35A38"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bCs/>
          <w:color w:val="000000" w:themeColor="text1"/>
        </w:rPr>
        <w:t>（2）</w:t>
      </w:r>
      <w:r w:rsidR="00787649" w:rsidRPr="00286323">
        <w:rPr>
          <w:rFonts w:asciiTheme="minorEastAsia" w:eastAsiaTheme="minorEastAsia" w:hAnsiTheme="minorEastAsia" w:hint="eastAsia"/>
          <w:color w:val="000000" w:themeColor="text1"/>
        </w:rPr>
        <w:t>基金经理依据基金管理人自主研发的多因子量化模型，主要根据对标的指数成份股超额收益的预测，对基础投资组合方案中的个股权重进行调整，构建投资组合，并适时进行组合调整。</w:t>
      </w:r>
    </w:p>
    <w:p w:rsidR="00787649" w:rsidRPr="00286323" w:rsidRDefault="00F35A38"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bCs/>
          <w:color w:val="000000" w:themeColor="text1"/>
        </w:rPr>
        <w:t>（3）</w:t>
      </w:r>
      <w:r w:rsidR="00787649" w:rsidRPr="00286323">
        <w:rPr>
          <w:rFonts w:asciiTheme="minorEastAsia" w:eastAsiaTheme="minorEastAsia" w:hAnsiTheme="minorEastAsia" w:hint="eastAsia"/>
          <w:color w:val="000000" w:themeColor="text1"/>
        </w:rPr>
        <w:t>当发生以下情况时，基金管理人将及时对投资组合进行调整，以降低跟踪误差。</w:t>
      </w:r>
    </w:p>
    <w:p w:rsidR="00787649" w:rsidRPr="00286323" w:rsidRDefault="00F35A38"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bCs/>
          <w:color w:val="000000" w:themeColor="text1"/>
        </w:rPr>
        <w:t>1）</w:t>
      </w:r>
      <w:r w:rsidR="00787649" w:rsidRPr="00286323">
        <w:rPr>
          <w:rFonts w:asciiTheme="minorEastAsia" w:eastAsiaTheme="minorEastAsia" w:hAnsiTheme="minorEastAsia" w:hint="eastAsia"/>
          <w:color w:val="000000" w:themeColor="text1"/>
        </w:rPr>
        <w:t>指数编制方法发生变更。基金管理人将评估指数编制方法变更对指数成份股及权重的影响，适时进行投资组合调整。</w:t>
      </w:r>
    </w:p>
    <w:p w:rsidR="00787649" w:rsidRPr="00286323" w:rsidRDefault="00F35A38"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bCs/>
          <w:color w:val="000000" w:themeColor="text1"/>
        </w:rPr>
        <w:t>2</w:t>
      </w:r>
      <w:r w:rsidRPr="00286323">
        <w:rPr>
          <w:rFonts w:asciiTheme="minorEastAsia" w:eastAsiaTheme="minorEastAsia" w:hAnsiTheme="minorEastAsia"/>
          <w:bCs/>
          <w:color w:val="000000" w:themeColor="text1"/>
        </w:rPr>
        <w:t>）</w:t>
      </w:r>
      <w:r w:rsidR="00787649" w:rsidRPr="00286323">
        <w:rPr>
          <w:rFonts w:asciiTheme="minorEastAsia" w:eastAsiaTheme="minorEastAsia" w:hAnsiTheme="minorEastAsia" w:hint="eastAsia"/>
          <w:color w:val="000000" w:themeColor="text1"/>
        </w:rPr>
        <w:t>指数成份股定期或临时调整。基金管理人将预测指数成份股调整方案，并判断指数成份股调整对投资组合的影响，在此基础上确定组合调整策略。</w:t>
      </w:r>
    </w:p>
    <w:p w:rsidR="00787649" w:rsidRPr="00286323" w:rsidRDefault="00F35A38"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bCs/>
          <w:color w:val="000000" w:themeColor="text1"/>
        </w:rPr>
        <w:t>3</w:t>
      </w:r>
      <w:r w:rsidRPr="00286323">
        <w:rPr>
          <w:rFonts w:asciiTheme="minorEastAsia" w:eastAsiaTheme="minorEastAsia" w:hAnsiTheme="minorEastAsia"/>
          <w:bCs/>
          <w:color w:val="000000" w:themeColor="text1"/>
        </w:rPr>
        <w:t>）</w:t>
      </w:r>
      <w:r w:rsidR="00787649" w:rsidRPr="00286323">
        <w:rPr>
          <w:rFonts w:asciiTheme="minorEastAsia" w:eastAsiaTheme="minorEastAsia" w:hAnsiTheme="minorEastAsia" w:hint="eastAsia"/>
          <w:color w:val="000000" w:themeColor="text1"/>
        </w:rPr>
        <w:t>指数成份股出现股本变化、增发、配股、派发现金股息等情形。基金管理人将密切关注这些情形对指数的影响，并据此确定相应的投资组合调整策略。</w:t>
      </w:r>
    </w:p>
    <w:p w:rsidR="00787649" w:rsidRPr="00286323" w:rsidRDefault="00F35A38"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bCs/>
          <w:color w:val="000000" w:themeColor="text1"/>
        </w:rPr>
        <w:t>4</w:t>
      </w:r>
      <w:r w:rsidRPr="00286323">
        <w:rPr>
          <w:rFonts w:asciiTheme="minorEastAsia" w:eastAsiaTheme="minorEastAsia" w:hAnsiTheme="minorEastAsia"/>
          <w:bCs/>
          <w:color w:val="000000" w:themeColor="text1"/>
        </w:rPr>
        <w:t>）</w:t>
      </w:r>
      <w:r w:rsidR="00787649" w:rsidRPr="00286323">
        <w:rPr>
          <w:rFonts w:asciiTheme="minorEastAsia" w:eastAsiaTheme="minorEastAsia" w:hAnsiTheme="minorEastAsia" w:hint="eastAsia"/>
          <w:color w:val="000000" w:themeColor="text1"/>
        </w:rPr>
        <w:t>当因法律法规限制本基金不能投资指数成份股时，基金管理人研究制定成份股替代策略，并适时进行组合调整。</w:t>
      </w:r>
    </w:p>
    <w:p w:rsidR="00787649" w:rsidRPr="00286323" w:rsidRDefault="00F35A38"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bCs/>
          <w:color w:val="000000" w:themeColor="text1"/>
        </w:rPr>
        <w:t>5</w:t>
      </w:r>
      <w:r w:rsidRPr="00286323">
        <w:rPr>
          <w:rFonts w:asciiTheme="minorEastAsia" w:eastAsiaTheme="minorEastAsia" w:hAnsiTheme="minorEastAsia"/>
          <w:bCs/>
          <w:color w:val="000000" w:themeColor="text1"/>
        </w:rPr>
        <w:t>）</w:t>
      </w:r>
      <w:r w:rsidR="00787649" w:rsidRPr="00286323">
        <w:rPr>
          <w:rFonts w:asciiTheme="minorEastAsia" w:eastAsiaTheme="minorEastAsia" w:hAnsiTheme="minorEastAsia" w:hint="eastAsia"/>
          <w:color w:val="000000" w:themeColor="text1"/>
        </w:rPr>
        <w:t>基金参与新股申购、股票长期停牌、股票流动性不足等情形。基金管理人将分析这些情形对跟踪误差的影响，据此对投资组合进行相应调整。</w:t>
      </w:r>
    </w:p>
    <w:p w:rsidR="007C2A47" w:rsidRPr="00286323" w:rsidRDefault="007C2A47" w:rsidP="007C2A47">
      <w:pPr>
        <w:snapToGrid w:val="0"/>
        <w:spacing w:line="360" w:lineRule="auto"/>
        <w:ind w:left="140" w:right="83" w:firstLineChars="150" w:firstLine="315"/>
        <w:rPr>
          <w:rFonts w:asciiTheme="minorEastAsia" w:eastAsiaTheme="minorEastAsia" w:hAnsiTheme="minorEastAsia"/>
          <w:color w:val="000000" w:themeColor="text1"/>
        </w:rPr>
      </w:pPr>
      <w:r w:rsidRPr="00286323">
        <w:rPr>
          <w:rFonts w:asciiTheme="minorEastAsia" w:eastAsiaTheme="minorEastAsia" w:hAnsiTheme="minorEastAsia" w:hint="eastAsia"/>
          <w:bCs/>
          <w:color w:val="000000" w:themeColor="text1"/>
        </w:rPr>
        <w:t>（4）</w:t>
      </w:r>
      <w:r w:rsidRPr="00286323">
        <w:rPr>
          <w:rFonts w:asciiTheme="minorEastAsia" w:eastAsiaTheme="minorEastAsia" w:hAnsiTheme="minorEastAsia" w:hint="eastAsia"/>
          <w:color w:val="000000" w:themeColor="text1"/>
        </w:rPr>
        <w:t>指数与量化</w:t>
      </w:r>
      <w:r w:rsidRPr="00286323">
        <w:rPr>
          <w:rFonts w:asciiTheme="minorEastAsia" w:eastAsiaTheme="minorEastAsia" w:hAnsiTheme="minorEastAsia" w:cs="Times New Roman" w:hint="eastAsia"/>
          <w:color w:val="000000" w:themeColor="text1"/>
        </w:rPr>
        <w:t>投资部定期检验和更新股票超额收益预测模型，并利用该预测模型，</w:t>
      </w:r>
      <w:r w:rsidRPr="00286323">
        <w:rPr>
          <w:rFonts w:asciiTheme="minorEastAsia" w:eastAsiaTheme="minorEastAsia" w:hAnsiTheme="minorEastAsia" w:hint="eastAsia"/>
          <w:color w:val="000000" w:themeColor="text1"/>
        </w:rPr>
        <w:t>预测下一阶段各成份股的超额收益</w:t>
      </w:r>
      <w:r w:rsidRPr="00286323">
        <w:rPr>
          <w:rFonts w:asciiTheme="minorEastAsia" w:eastAsiaTheme="minorEastAsia" w:hAnsiTheme="minorEastAsia" w:cs="Times New Roman" w:hint="eastAsia"/>
          <w:color w:val="000000" w:themeColor="text1"/>
        </w:rPr>
        <w:t>率；</w:t>
      </w:r>
      <w:r w:rsidRPr="00286323">
        <w:rPr>
          <w:rFonts w:asciiTheme="minorEastAsia" w:eastAsiaTheme="minorEastAsia" w:hAnsiTheme="minorEastAsia" w:hint="eastAsia"/>
          <w:color w:val="000000" w:themeColor="text1"/>
        </w:rPr>
        <w:t>研究部提供成份股和部分重点推荐的符合要求的非成份股基本面的研究报告。</w:t>
      </w:r>
    </w:p>
    <w:p w:rsidR="007C2A47" w:rsidRPr="00286323" w:rsidRDefault="007C2A47" w:rsidP="007C2A47">
      <w:pPr>
        <w:snapToGrid w:val="0"/>
        <w:spacing w:line="360" w:lineRule="auto"/>
        <w:ind w:left="140" w:right="83" w:firstLineChars="150" w:firstLine="315"/>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5）指数成份股发生明显负面事件面临退市风险，且指数编制机构暂未作出调整的，基金管理人将按照基金份额持有人利益优先的原则，综合考虑成份股的退市风险、其在指数中的权重以及对跟踪误差的影响，据此制定成份股替代策略，并对投资组合进行相应调整</w:t>
      </w:r>
      <w:r w:rsidR="008978C4" w:rsidRPr="00286323">
        <w:rPr>
          <w:rFonts w:asciiTheme="minorEastAsia" w:eastAsiaTheme="minorEastAsia" w:hAnsiTheme="minorEastAsia" w:hint="eastAsia"/>
          <w:bCs/>
          <w:color w:val="000000" w:themeColor="text1"/>
        </w:rPr>
        <w:t>。</w:t>
      </w:r>
    </w:p>
    <w:p w:rsidR="007C2A47" w:rsidRPr="00286323" w:rsidRDefault="007C2A47" w:rsidP="007C2A47">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6</w:t>
      </w: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hint="eastAsia"/>
          <w:color w:val="000000" w:themeColor="text1"/>
        </w:rPr>
        <w:t>投资风险管理部定期对投资组合的超额收益与跟踪误差进行量化评估，提供基金经理参考。</w:t>
      </w:r>
    </w:p>
    <w:p w:rsidR="00787649" w:rsidRPr="00286323" w:rsidRDefault="007C2A47" w:rsidP="00F71D3B">
      <w:pPr>
        <w:snapToGrid w:val="0"/>
        <w:spacing w:line="360" w:lineRule="auto"/>
        <w:ind w:firstLineChars="200" w:firstLine="420"/>
        <w:rPr>
          <w:rFonts w:asciiTheme="minorEastAsia" w:eastAsiaTheme="minorEastAsia" w:hAnsiTheme="minorEastAsia"/>
          <w:color w:val="000000" w:themeColor="text1"/>
          <w:sz w:val="24"/>
          <w:szCs w:val="24"/>
        </w:rPr>
      </w:pP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7</w:t>
      </w: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hint="eastAsia"/>
          <w:color w:val="000000" w:themeColor="text1"/>
        </w:rPr>
        <w:t>基金经理参考有关研究报告及投资风险管理部门的报告，及时进行投资组合调整。</w:t>
      </w:r>
    </w:p>
    <w:p w:rsidR="0016558F" w:rsidRPr="00286323" w:rsidRDefault="0016558F" w:rsidP="00F71D3B">
      <w:pPr>
        <w:pStyle w:val="20"/>
        <w:numPr>
          <w:ilvl w:val="0"/>
          <w:numId w:val="32"/>
        </w:numPr>
        <w:snapToGrid w:val="0"/>
        <w:spacing w:beforeLines="0" w:afterLines="0" w:line="360" w:lineRule="auto"/>
        <w:ind w:firstLineChars="0"/>
        <w:rPr>
          <w:rFonts w:asciiTheme="minorEastAsia" w:eastAsiaTheme="minorEastAsia" w:hAnsiTheme="minorEastAsia" w:cs="Arial"/>
          <w:b w:val="0"/>
          <w:color w:val="000000" w:themeColor="text1"/>
        </w:rPr>
      </w:pPr>
      <w:r w:rsidRPr="00286323">
        <w:rPr>
          <w:rFonts w:asciiTheme="minorEastAsia" w:eastAsiaTheme="minorEastAsia" w:hAnsiTheme="minorEastAsia" w:cs="Arial"/>
          <w:b w:val="0"/>
          <w:color w:val="000000" w:themeColor="text1"/>
        </w:rPr>
        <w:lastRenderedPageBreak/>
        <w:t>投资限制</w:t>
      </w:r>
    </w:p>
    <w:p w:rsidR="0016558F" w:rsidRPr="00286323" w:rsidRDefault="0016558F"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1、组合限制</w:t>
      </w:r>
    </w:p>
    <w:p w:rsidR="0016558F" w:rsidRPr="00286323" w:rsidRDefault="0016558F"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基金的投资组合应遵循以下限制：</w:t>
      </w:r>
    </w:p>
    <w:p w:rsidR="0016558F" w:rsidRPr="00286323" w:rsidRDefault="0016558F"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（1）</w:t>
      </w:r>
      <w:r w:rsidRPr="00286323">
        <w:rPr>
          <w:rFonts w:asciiTheme="minorEastAsia" w:eastAsiaTheme="minorEastAsia" w:hAnsiTheme="minorEastAsia" w:hint="eastAsia"/>
          <w:bCs/>
          <w:color w:val="000000" w:themeColor="text1"/>
        </w:rPr>
        <w:t>本基金股票资产占基金资产净值的比例为90%-95%，其中投资于标的指数成份股和备选成份股的资产不低于股票资产的</w:t>
      </w:r>
      <w:r w:rsidRPr="00286323">
        <w:rPr>
          <w:rFonts w:asciiTheme="minorEastAsia" w:eastAsiaTheme="minorEastAsia" w:hAnsiTheme="minorEastAsia"/>
          <w:bCs/>
          <w:color w:val="000000" w:themeColor="text1"/>
        </w:rPr>
        <w:t>80%；</w:t>
      </w:r>
    </w:p>
    <w:p w:rsidR="0016558F" w:rsidRPr="00286323" w:rsidRDefault="0016558F"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w:t>
      </w:r>
      <w:r w:rsidRPr="00286323">
        <w:rPr>
          <w:rFonts w:asciiTheme="minorEastAsia" w:eastAsiaTheme="minorEastAsia" w:hAnsiTheme="minorEastAsia" w:hint="eastAsia"/>
          <w:bCs/>
          <w:color w:val="000000" w:themeColor="text1"/>
        </w:rPr>
        <w:t>2</w:t>
      </w:r>
      <w:r w:rsidRPr="00286323">
        <w:rPr>
          <w:rFonts w:asciiTheme="minorEastAsia" w:eastAsiaTheme="minorEastAsia" w:hAnsiTheme="minorEastAsia"/>
          <w:bCs/>
          <w:color w:val="000000" w:themeColor="text1"/>
        </w:rPr>
        <w:t>）本基金持有一家上市公司的股票，其市值不超过基金资产净值的10％；</w:t>
      </w:r>
    </w:p>
    <w:p w:rsidR="0016558F" w:rsidRPr="00286323" w:rsidRDefault="0016558F"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w:t>
      </w:r>
      <w:r w:rsidRPr="00286323">
        <w:rPr>
          <w:rFonts w:asciiTheme="minorEastAsia" w:eastAsiaTheme="minorEastAsia" w:hAnsiTheme="minorEastAsia" w:hint="eastAsia"/>
          <w:bCs/>
          <w:color w:val="000000" w:themeColor="text1"/>
        </w:rPr>
        <w:t>3</w:t>
      </w:r>
      <w:r w:rsidRPr="00286323">
        <w:rPr>
          <w:rFonts w:asciiTheme="minorEastAsia" w:eastAsiaTheme="minorEastAsia" w:hAnsiTheme="minorEastAsia"/>
          <w:bCs/>
          <w:color w:val="000000" w:themeColor="text1"/>
        </w:rPr>
        <w:t>）本基金管理人管理的全部基金持有一家公司发行的证券，不超过该证券的10％；</w:t>
      </w:r>
    </w:p>
    <w:p w:rsidR="0016558F" w:rsidRPr="00286323" w:rsidRDefault="0016558F"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w:t>
      </w:r>
      <w:r w:rsidRPr="00286323">
        <w:rPr>
          <w:rFonts w:asciiTheme="minorEastAsia" w:eastAsiaTheme="minorEastAsia" w:hAnsiTheme="minorEastAsia" w:hint="eastAsia"/>
          <w:bCs/>
          <w:color w:val="000000" w:themeColor="text1"/>
        </w:rPr>
        <w:t>4</w:t>
      </w:r>
      <w:r w:rsidRPr="00286323">
        <w:rPr>
          <w:rFonts w:asciiTheme="minorEastAsia" w:eastAsiaTheme="minorEastAsia" w:hAnsiTheme="minorEastAsia"/>
          <w:bCs/>
          <w:color w:val="000000" w:themeColor="text1"/>
        </w:rPr>
        <w:t>）本基金持有的全部权证，其市值不得超过基金资产净值的3％；</w:t>
      </w:r>
    </w:p>
    <w:p w:rsidR="0016558F" w:rsidRPr="00286323" w:rsidRDefault="0016558F"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w:t>
      </w:r>
      <w:r w:rsidRPr="00286323">
        <w:rPr>
          <w:rFonts w:asciiTheme="minorEastAsia" w:eastAsiaTheme="minorEastAsia" w:hAnsiTheme="minorEastAsia" w:hint="eastAsia"/>
          <w:bCs/>
          <w:color w:val="000000" w:themeColor="text1"/>
        </w:rPr>
        <w:t>5</w:t>
      </w:r>
      <w:r w:rsidRPr="00286323">
        <w:rPr>
          <w:rFonts w:asciiTheme="minorEastAsia" w:eastAsiaTheme="minorEastAsia" w:hAnsiTheme="minorEastAsia"/>
          <w:bCs/>
          <w:color w:val="000000" w:themeColor="text1"/>
        </w:rPr>
        <w:t>）本基金管理人管理的全部基金持有的同一权证，不得超过该权证的10％；</w:t>
      </w:r>
    </w:p>
    <w:p w:rsidR="0016558F" w:rsidRPr="00286323" w:rsidRDefault="0016558F"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w:t>
      </w:r>
      <w:r w:rsidRPr="00286323">
        <w:rPr>
          <w:rFonts w:asciiTheme="minorEastAsia" w:eastAsiaTheme="minorEastAsia" w:hAnsiTheme="minorEastAsia" w:hint="eastAsia"/>
          <w:bCs/>
          <w:color w:val="000000" w:themeColor="text1"/>
        </w:rPr>
        <w:t>6</w:t>
      </w:r>
      <w:r w:rsidRPr="00286323">
        <w:rPr>
          <w:rFonts w:asciiTheme="minorEastAsia" w:eastAsiaTheme="minorEastAsia" w:hAnsiTheme="minorEastAsia"/>
          <w:bCs/>
          <w:color w:val="000000" w:themeColor="text1"/>
        </w:rPr>
        <w:t>）本基金在任何交易日买入权证的总金额，不得超过上一交易日基金资产净值的0.5％；</w:t>
      </w:r>
    </w:p>
    <w:p w:rsidR="0016558F" w:rsidRPr="00286323" w:rsidRDefault="0016558F"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w:t>
      </w:r>
      <w:r w:rsidRPr="00286323">
        <w:rPr>
          <w:rFonts w:asciiTheme="minorEastAsia" w:eastAsiaTheme="minorEastAsia" w:hAnsiTheme="minorEastAsia" w:hint="eastAsia"/>
          <w:bCs/>
          <w:color w:val="000000" w:themeColor="text1"/>
        </w:rPr>
        <w:t>7</w:t>
      </w:r>
      <w:r w:rsidRPr="00286323">
        <w:rPr>
          <w:rFonts w:asciiTheme="minorEastAsia" w:eastAsiaTheme="minorEastAsia" w:hAnsiTheme="minorEastAsia"/>
          <w:bCs/>
          <w:color w:val="000000" w:themeColor="text1"/>
        </w:rPr>
        <w:t>）本基金投资于同一原始权益人的各类资产支持证券的比例，不得超过基金资产净值的10％；</w:t>
      </w:r>
    </w:p>
    <w:p w:rsidR="0016558F" w:rsidRPr="00286323" w:rsidRDefault="0016558F"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w:t>
      </w:r>
      <w:r w:rsidRPr="00286323">
        <w:rPr>
          <w:rFonts w:asciiTheme="minorEastAsia" w:eastAsiaTheme="minorEastAsia" w:hAnsiTheme="minorEastAsia" w:hint="eastAsia"/>
          <w:bCs/>
          <w:color w:val="000000" w:themeColor="text1"/>
        </w:rPr>
        <w:t>8</w:t>
      </w:r>
      <w:r w:rsidRPr="00286323">
        <w:rPr>
          <w:rFonts w:asciiTheme="minorEastAsia" w:eastAsiaTheme="minorEastAsia" w:hAnsiTheme="minorEastAsia"/>
          <w:bCs/>
          <w:color w:val="000000" w:themeColor="text1"/>
        </w:rPr>
        <w:t>）本基金持有的全部资产支持证券，其市值不得超过基金资产净值的20％；</w:t>
      </w:r>
    </w:p>
    <w:p w:rsidR="0016558F" w:rsidRPr="00286323" w:rsidRDefault="0016558F"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w:t>
      </w:r>
      <w:r w:rsidRPr="00286323">
        <w:rPr>
          <w:rFonts w:asciiTheme="minorEastAsia" w:eastAsiaTheme="minorEastAsia" w:hAnsiTheme="minorEastAsia" w:hint="eastAsia"/>
          <w:bCs/>
          <w:color w:val="000000" w:themeColor="text1"/>
        </w:rPr>
        <w:t>9</w:t>
      </w:r>
      <w:r w:rsidRPr="00286323">
        <w:rPr>
          <w:rFonts w:asciiTheme="minorEastAsia" w:eastAsiaTheme="minorEastAsia" w:hAnsiTheme="minorEastAsia"/>
          <w:bCs/>
          <w:color w:val="000000" w:themeColor="text1"/>
        </w:rPr>
        <w:t>）本基金持有的同一(指同一信用级别)资产支持证券的比例，不得超过该资产支持证券规模的10％；</w:t>
      </w:r>
    </w:p>
    <w:p w:rsidR="0016558F" w:rsidRPr="00286323" w:rsidRDefault="0016558F"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（1</w:t>
      </w:r>
      <w:r w:rsidRPr="00286323">
        <w:rPr>
          <w:rFonts w:asciiTheme="minorEastAsia" w:eastAsiaTheme="minorEastAsia" w:hAnsiTheme="minorEastAsia" w:hint="eastAsia"/>
          <w:bCs/>
          <w:color w:val="000000" w:themeColor="text1"/>
        </w:rPr>
        <w:t>0</w:t>
      </w:r>
      <w:r w:rsidRPr="00286323">
        <w:rPr>
          <w:rFonts w:asciiTheme="minorEastAsia" w:eastAsiaTheme="minorEastAsia" w:hAnsiTheme="minorEastAsia"/>
          <w:bCs/>
          <w:color w:val="000000" w:themeColor="text1"/>
        </w:rPr>
        <w:t>）本基金管理人管理的全部基金投资于同一原始权益人的各类资产支持证券，不得超过其各类资产支持证券合计规模的10％；</w:t>
      </w:r>
    </w:p>
    <w:p w:rsidR="0016558F" w:rsidRPr="00286323" w:rsidRDefault="0016558F"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（1</w:t>
      </w:r>
      <w:r w:rsidRPr="00286323">
        <w:rPr>
          <w:rFonts w:asciiTheme="minorEastAsia" w:eastAsiaTheme="minorEastAsia" w:hAnsiTheme="minorEastAsia" w:hint="eastAsia"/>
          <w:bCs/>
          <w:color w:val="000000" w:themeColor="text1"/>
        </w:rPr>
        <w:t>1</w:t>
      </w:r>
      <w:r w:rsidRPr="00286323">
        <w:rPr>
          <w:rFonts w:asciiTheme="minorEastAsia" w:eastAsiaTheme="minorEastAsia" w:hAnsiTheme="minorEastAsia"/>
          <w:bCs/>
          <w:color w:val="000000" w:themeColor="text1"/>
        </w:rPr>
        <w:t>）本基金应投资于信用级别评级为BBB以上(含BBB)的资产支持证券。基金持有资产支持证券期间，如果其信用等级下降、不再符合投资标准，应在评级报告发布之日起3个月内予以全部卖出；</w:t>
      </w:r>
    </w:p>
    <w:p w:rsidR="0016558F" w:rsidRPr="00286323" w:rsidRDefault="0016558F"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（1</w:t>
      </w:r>
      <w:r w:rsidRPr="00286323">
        <w:rPr>
          <w:rFonts w:asciiTheme="minorEastAsia" w:eastAsiaTheme="minorEastAsia" w:hAnsiTheme="minorEastAsia" w:hint="eastAsia"/>
          <w:bCs/>
          <w:color w:val="000000" w:themeColor="text1"/>
        </w:rPr>
        <w:t>2</w:t>
      </w:r>
      <w:r w:rsidRPr="00286323">
        <w:rPr>
          <w:rFonts w:asciiTheme="minorEastAsia" w:eastAsiaTheme="minorEastAsia" w:hAnsiTheme="minorEastAsia"/>
          <w:bCs/>
          <w:color w:val="000000" w:themeColor="text1"/>
        </w:rPr>
        <w:t>）基金财产参与股票发行申购，本基金所申报的金额不超过本基金的总资产，本基金所申报的股票数量不超过拟发行股票公司本次发行股票的总量；</w:t>
      </w:r>
    </w:p>
    <w:p w:rsidR="0016558F" w:rsidRPr="00286323" w:rsidRDefault="0016558F"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（1</w:t>
      </w:r>
      <w:r w:rsidRPr="00286323">
        <w:rPr>
          <w:rFonts w:asciiTheme="minorEastAsia" w:eastAsiaTheme="minorEastAsia" w:hAnsiTheme="minorEastAsia" w:hint="eastAsia"/>
          <w:bCs/>
          <w:color w:val="000000" w:themeColor="text1"/>
        </w:rPr>
        <w:t>3</w:t>
      </w:r>
      <w:r w:rsidRPr="00286323">
        <w:rPr>
          <w:rFonts w:asciiTheme="minorEastAsia" w:eastAsiaTheme="minorEastAsia" w:hAnsiTheme="minorEastAsia"/>
          <w:bCs/>
          <w:color w:val="000000" w:themeColor="text1"/>
        </w:rPr>
        <w:t>）本基金进入全国银行间同业市场进行债券回购的资金余额不得超过基金资产净值的40%；</w:t>
      </w:r>
      <w:r w:rsidRPr="00286323">
        <w:rPr>
          <w:rFonts w:asciiTheme="minorEastAsia" w:eastAsiaTheme="minorEastAsia" w:hAnsiTheme="minorEastAsia" w:hint="eastAsia"/>
          <w:bCs/>
          <w:color w:val="000000" w:themeColor="text1"/>
        </w:rPr>
        <w:t>债券回购最长期限为1年，债券回购到期后不得展期；</w:t>
      </w:r>
    </w:p>
    <w:p w:rsidR="0016558F" w:rsidRPr="00286323" w:rsidRDefault="0016558F"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14）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rsidR="0016558F" w:rsidRPr="00286323" w:rsidRDefault="0016558F"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（15）本基金投资于股指期货，还应遵循如下投资组合限制：</w:t>
      </w:r>
    </w:p>
    <w:p w:rsidR="0016558F" w:rsidRPr="00286323" w:rsidRDefault="008F1AE4"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1）</w:t>
      </w:r>
      <w:r w:rsidR="0016558F" w:rsidRPr="00286323">
        <w:rPr>
          <w:rFonts w:asciiTheme="minorEastAsia" w:eastAsiaTheme="minorEastAsia" w:hAnsiTheme="minorEastAsia" w:hint="eastAsia"/>
          <w:bCs/>
          <w:color w:val="000000" w:themeColor="text1"/>
        </w:rPr>
        <w:t>在任何交易日日终，本基金持有的买入股指期货合约价值不超过基金资产净值的10%，卖出股指期货合约价值不超过基金持有的股票总市值的20%。</w:t>
      </w:r>
    </w:p>
    <w:p w:rsidR="0016558F" w:rsidRPr="00286323" w:rsidRDefault="008F1AE4"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lastRenderedPageBreak/>
        <w:t>2）</w:t>
      </w:r>
      <w:r w:rsidR="0016558F" w:rsidRPr="00286323">
        <w:rPr>
          <w:rFonts w:asciiTheme="minorEastAsia" w:eastAsiaTheme="minorEastAsia" w:hAnsiTheme="minorEastAsia" w:hint="eastAsia"/>
          <w:bCs/>
          <w:color w:val="000000" w:themeColor="text1"/>
        </w:rPr>
        <w:t>在任何交易日日终，本基金持有的买入期货合约价值与有价证券市值之和不得超过基金资产净值的95%。</w:t>
      </w:r>
    </w:p>
    <w:p w:rsidR="0016558F" w:rsidRPr="00286323" w:rsidRDefault="0016558F"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其中，有价证券指股票、债券（不含到期日在一年以内的政府债券）、权证、资产支持证券、买入返售金融资产（不含质押式回购）等。</w:t>
      </w:r>
    </w:p>
    <w:p w:rsidR="0016558F" w:rsidRPr="00286323" w:rsidRDefault="008F1AE4"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3）</w:t>
      </w:r>
      <w:r w:rsidR="0016558F" w:rsidRPr="00286323">
        <w:rPr>
          <w:rFonts w:asciiTheme="minorEastAsia" w:eastAsiaTheme="minorEastAsia" w:hAnsiTheme="minorEastAsia" w:hint="eastAsia"/>
          <w:bCs/>
          <w:color w:val="000000" w:themeColor="text1"/>
        </w:rPr>
        <w:t>本基金所持有的股票市值和买入、卖出股指期货合约价值，合计（轧差计算）占基金资产净值的比例范围为90%-95%。</w:t>
      </w:r>
    </w:p>
    <w:p w:rsidR="0016558F" w:rsidRPr="00286323" w:rsidRDefault="008F1AE4" w:rsidP="00BC3EF6">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4）</w:t>
      </w:r>
      <w:r w:rsidR="0016558F" w:rsidRPr="00286323">
        <w:rPr>
          <w:rFonts w:asciiTheme="minorEastAsia" w:eastAsiaTheme="minorEastAsia" w:hAnsiTheme="minorEastAsia" w:hint="eastAsia"/>
          <w:bCs/>
          <w:color w:val="000000" w:themeColor="text1"/>
        </w:rPr>
        <w:t>本基金在任何交易日内交易（不包括平仓）的股指期货合约的成交金额不得超过上一交易日基金资产净值的20%。</w:t>
      </w:r>
    </w:p>
    <w:p w:rsidR="0016558F" w:rsidRPr="00286323" w:rsidRDefault="0016558F"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本基金管理人应当按照中国金融期货交易所的要求向其报告所交易和持有的卖出期货合约情况、交易目的及对应的证券资产情况等。</w:t>
      </w:r>
    </w:p>
    <w:p w:rsidR="00BC3EF6" w:rsidRPr="00286323" w:rsidRDefault="00BC3EF6" w:rsidP="00BC3EF6">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（16）本基金每个交易日日终在扣除股指期货合约需缴纳的交易保证金后，应当保持不低于基金资产净值5%的现金或到期日在一年以内的政府债券，现金不包括结算备付金、存出保证金、应收申购款等。</w:t>
      </w:r>
    </w:p>
    <w:p w:rsidR="00BC3EF6" w:rsidRPr="00286323" w:rsidRDefault="00BC3EF6" w:rsidP="00BC3EF6">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17）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BC3EF6" w:rsidRPr="00286323" w:rsidRDefault="00BC3EF6" w:rsidP="00BC3EF6">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（18）本基金主动投资于流动性受限资产的市值合计不得超过本基金资产净值的15%。</w:t>
      </w:r>
    </w:p>
    <w:p w:rsidR="00BC3EF6" w:rsidRPr="00286323" w:rsidRDefault="00BC3EF6" w:rsidP="00BC3EF6">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因证券市场波动、上市公司股票停牌、基金规模变动等基金管理人之外的因素致使基金不符合前款所规定比例限制的，基金管理人不得主动新增流动性受限资产的投资。</w:t>
      </w:r>
    </w:p>
    <w:p w:rsidR="00BC3EF6" w:rsidRPr="00286323" w:rsidRDefault="00BC3EF6" w:rsidP="00BC3EF6">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（19）本基金与私募类证券资管产品及中国证监会认定的其他主体为交易对手开展逆回购交易的，可接受质押品的资质要求应当与基金合同约定的投资范围保持一致。</w:t>
      </w:r>
    </w:p>
    <w:p w:rsidR="00F76EEB" w:rsidRPr="00286323" w:rsidRDefault="00BC3EF6" w:rsidP="00F76EE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（20）</w:t>
      </w:r>
      <w:r w:rsidR="00F76EEB" w:rsidRPr="00286323">
        <w:rPr>
          <w:rFonts w:asciiTheme="minorEastAsia" w:eastAsiaTheme="minorEastAsia" w:hAnsiTheme="minorEastAsia" w:hint="eastAsia"/>
          <w:bCs/>
          <w:color w:val="000000" w:themeColor="text1"/>
        </w:rPr>
        <w:t>本基金投资存托凭证的比例限制依照境内上市交易的股票执行，与境内上市交易的股票合并计算。</w:t>
      </w:r>
    </w:p>
    <w:p w:rsidR="00BC3EF6" w:rsidRPr="00286323" w:rsidRDefault="00F76EEB" w:rsidP="00F76EE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（21）</w:t>
      </w:r>
      <w:r w:rsidR="00BC3EF6" w:rsidRPr="00286323">
        <w:rPr>
          <w:rFonts w:asciiTheme="minorEastAsia" w:eastAsiaTheme="minorEastAsia" w:hAnsiTheme="minorEastAsia" w:hint="eastAsia"/>
          <w:bCs/>
          <w:color w:val="000000" w:themeColor="text1"/>
        </w:rPr>
        <w:t>法律法规及中国证监会规定的及《基金合同》约定的其他投资比例限制。</w:t>
      </w:r>
    </w:p>
    <w:p w:rsidR="0016558F" w:rsidRPr="00286323" w:rsidRDefault="00BC3EF6"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除上述（11）、（12）、（16）、（18）、（19）以外，</w:t>
      </w:r>
      <w:r w:rsidR="0016558F" w:rsidRPr="00286323">
        <w:rPr>
          <w:rFonts w:asciiTheme="minorEastAsia" w:eastAsiaTheme="minorEastAsia" w:hAnsiTheme="minorEastAsia"/>
          <w:bCs/>
          <w:color w:val="000000" w:themeColor="text1"/>
        </w:rPr>
        <w:t>因证券</w:t>
      </w:r>
      <w:r w:rsidR="0016558F" w:rsidRPr="00286323">
        <w:rPr>
          <w:rFonts w:asciiTheme="minorEastAsia" w:eastAsiaTheme="minorEastAsia" w:hAnsiTheme="minorEastAsia" w:hint="eastAsia"/>
          <w:bCs/>
          <w:color w:val="000000" w:themeColor="text1"/>
        </w:rPr>
        <w:t>、期货</w:t>
      </w:r>
      <w:r w:rsidR="0016558F" w:rsidRPr="00286323">
        <w:rPr>
          <w:rFonts w:asciiTheme="minorEastAsia" w:eastAsiaTheme="minorEastAsia" w:hAnsiTheme="minorEastAsia"/>
          <w:bCs/>
          <w:color w:val="000000" w:themeColor="text1"/>
        </w:rPr>
        <w:t>市场波动、上市公司合并、基金规模变动、股权分置改革中支付对价等基金管理人之外的因素致使基金投资比例不符合上述规定投资比例的，基金管理人应当在10个交易日内进行调整。</w:t>
      </w:r>
    </w:p>
    <w:p w:rsidR="0016558F" w:rsidRPr="00286323" w:rsidRDefault="0016558F"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基金管理人应当自基金合同生效之日起</w:t>
      </w:r>
      <w:r w:rsidRPr="00286323">
        <w:rPr>
          <w:rFonts w:asciiTheme="minorEastAsia" w:eastAsiaTheme="minorEastAsia" w:hAnsiTheme="minorEastAsia" w:hint="eastAsia"/>
          <w:bCs/>
          <w:color w:val="000000" w:themeColor="text1"/>
        </w:rPr>
        <w:t>6</w:t>
      </w:r>
      <w:r w:rsidRPr="00286323">
        <w:rPr>
          <w:rFonts w:asciiTheme="minorEastAsia" w:eastAsiaTheme="minorEastAsia" w:hAnsiTheme="minorEastAsia"/>
          <w:bCs/>
          <w:color w:val="000000" w:themeColor="text1"/>
        </w:rPr>
        <w:t>个月内使基金的投资组合比例符合基金合同的有关约定。基金托管人对基金的投资的监督与检查自基金合同生效之日起开始。</w:t>
      </w:r>
    </w:p>
    <w:p w:rsidR="0016558F" w:rsidRPr="00286323" w:rsidRDefault="0016558F"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法律法规或监管部门取消上述限制，如适用于本基金，基金管理人</w:t>
      </w:r>
      <w:r w:rsidRPr="00286323">
        <w:rPr>
          <w:rFonts w:asciiTheme="minorEastAsia" w:eastAsiaTheme="minorEastAsia" w:hAnsiTheme="minorEastAsia" w:hint="eastAsia"/>
          <w:bCs/>
          <w:color w:val="000000" w:themeColor="text1"/>
        </w:rPr>
        <w:t>在</w:t>
      </w:r>
      <w:r w:rsidRPr="00286323">
        <w:rPr>
          <w:rFonts w:asciiTheme="minorEastAsia" w:eastAsiaTheme="minorEastAsia" w:hAnsiTheme="minorEastAsia"/>
          <w:bCs/>
          <w:color w:val="000000" w:themeColor="text1"/>
        </w:rPr>
        <w:t>履行适当程序后，则本基金投资不再受相关限制。</w:t>
      </w:r>
    </w:p>
    <w:p w:rsidR="0016558F" w:rsidRPr="00286323" w:rsidRDefault="0016558F"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2</w:t>
      </w: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禁止行为</w:t>
      </w:r>
    </w:p>
    <w:p w:rsidR="0016558F" w:rsidRPr="00286323" w:rsidRDefault="0016558F"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为维护基金份额持有人的合法权益，基金财产不得用于下列投资或者活动：</w:t>
      </w:r>
    </w:p>
    <w:p w:rsidR="0016558F" w:rsidRPr="00286323" w:rsidRDefault="0016558F"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lastRenderedPageBreak/>
        <w:t>（1）承销证券；</w:t>
      </w:r>
    </w:p>
    <w:p w:rsidR="0016558F" w:rsidRPr="00286323" w:rsidRDefault="0016558F"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w:t>
      </w:r>
      <w:r w:rsidRPr="00286323">
        <w:rPr>
          <w:rFonts w:asciiTheme="minorEastAsia" w:eastAsiaTheme="minorEastAsia" w:hAnsiTheme="minorEastAsia" w:hint="eastAsia"/>
          <w:bCs/>
          <w:color w:val="000000" w:themeColor="text1"/>
        </w:rPr>
        <w:t>2</w:t>
      </w:r>
      <w:r w:rsidRPr="00286323">
        <w:rPr>
          <w:rFonts w:asciiTheme="minorEastAsia" w:eastAsiaTheme="minorEastAsia" w:hAnsiTheme="minorEastAsia"/>
          <w:bCs/>
          <w:color w:val="000000" w:themeColor="text1"/>
        </w:rPr>
        <w:t>）向他人贷款或者提供担保；</w:t>
      </w:r>
    </w:p>
    <w:p w:rsidR="0016558F" w:rsidRPr="00286323" w:rsidRDefault="0016558F"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w:t>
      </w:r>
      <w:r w:rsidRPr="00286323">
        <w:rPr>
          <w:rFonts w:asciiTheme="minorEastAsia" w:eastAsiaTheme="minorEastAsia" w:hAnsiTheme="minorEastAsia" w:hint="eastAsia"/>
          <w:bCs/>
          <w:color w:val="000000" w:themeColor="text1"/>
        </w:rPr>
        <w:t>3</w:t>
      </w:r>
      <w:r w:rsidRPr="00286323">
        <w:rPr>
          <w:rFonts w:asciiTheme="minorEastAsia" w:eastAsiaTheme="minorEastAsia" w:hAnsiTheme="minorEastAsia"/>
          <w:bCs/>
          <w:color w:val="000000" w:themeColor="text1"/>
        </w:rPr>
        <w:t>）从事承担无限责任的投资；</w:t>
      </w:r>
    </w:p>
    <w:p w:rsidR="0016558F" w:rsidRPr="00286323" w:rsidRDefault="0016558F"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w:t>
      </w:r>
      <w:r w:rsidRPr="00286323">
        <w:rPr>
          <w:rFonts w:asciiTheme="minorEastAsia" w:eastAsiaTheme="minorEastAsia" w:hAnsiTheme="minorEastAsia" w:hint="eastAsia"/>
          <w:bCs/>
          <w:color w:val="000000" w:themeColor="text1"/>
        </w:rPr>
        <w:t>4</w:t>
      </w:r>
      <w:r w:rsidRPr="00286323">
        <w:rPr>
          <w:rFonts w:asciiTheme="minorEastAsia" w:eastAsiaTheme="minorEastAsia" w:hAnsiTheme="minorEastAsia"/>
          <w:bCs/>
          <w:color w:val="000000" w:themeColor="text1"/>
        </w:rPr>
        <w:t>）买卖其他基金份额，但是国务院另有规定的除外；</w:t>
      </w:r>
    </w:p>
    <w:p w:rsidR="0016558F" w:rsidRPr="00286323" w:rsidRDefault="0016558F"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w:t>
      </w:r>
      <w:r w:rsidRPr="00286323">
        <w:rPr>
          <w:rFonts w:asciiTheme="minorEastAsia" w:eastAsiaTheme="minorEastAsia" w:hAnsiTheme="minorEastAsia" w:hint="eastAsia"/>
          <w:bCs/>
          <w:color w:val="000000" w:themeColor="text1"/>
        </w:rPr>
        <w:t>5</w:t>
      </w:r>
      <w:r w:rsidRPr="00286323">
        <w:rPr>
          <w:rFonts w:asciiTheme="minorEastAsia" w:eastAsiaTheme="minorEastAsia" w:hAnsiTheme="minorEastAsia"/>
          <w:bCs/>
          <w:color w:val="000000" w:themeColor="text1"/>
        </w:rPr>
        <w:t>）向其基金管理人、基金托管人出资或者买卖其基金管理人、基金托管人发行的股票或者债券；</w:t>
      </w:r>
    </w:p>
    <w:p w:rsidR="0016558F" w:rsidRPr="00286323" w:rsidRDefault="0016558F"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w:t>
      </w:r>
      <w:r w:rsidRPr="00286323">
        <w:rPr>
          <w:rFonts w:asciiTheme="minorEastAsia" w:eastAsiaTheme="minorEastAsia" w:hAnsiTheme="minorEastAsia" w:hint="eastAsia"/>
          <w:bCs/>
          <w:color w:val="000000" w:themeColor="text1"/>
        </w:rPr>
        <w:t>6</w:t>
      </w:r>
      <w:r w:rsidRPr="00286323">
        <w:rPr>
          <w:rFonts w:asciiTheme="minorEastAsia" w:eastAsiaTheme="minorEastAsia" w:hAnsiTheme="minorEastAsia"/>
          <w:bCs/>
          <w:color w:val="000000" w:themeColor="text1"/>
        </w:rPr>
        <w:t>）买卖与其基金管理人、基金托管人有控股关系的股东或者与其基金管理人、基金托管人有其他重大利害关系的公司发行的证券或者承销期内承销的证券；</w:t>
      </w:r>
    </w:p>
    <w:p w:rsidR="0016558F" w:rsidRPr="00286323" w:rsidRDefault="0016558F"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w:t>
      </w:r>
      <w:r w:rsidRPr="00286323">
        <w:rPr>
          <w:rFonts w:asciiTheme="minorEastAsia" w:eastAsiaTheme="minorEastAsia" w:hAnsiTheme="minorEastAsia" w:hint="eastAsia"/>
          <w:bCs/>
          <w:color w:val="000000" w:themeColor="text1"/>
        </w:rPr>
        <w:t>7</w:t>
      </w:r>
      <w:r w:rsidRPr="00286323">
        <w:rPr>
          <w:rFonts w:asciiTheme="minorEastAsia" w:eastAsiaTheme="minorEastAsia" w:hAnsiTheme="minorEastAsia"/>
          <w:bCs/>
          <w:color w:val="000000" w:themeColor="text1"/>
        </w:rPr>
        <w:t>）从事内幕交易、操纵证券交易价格及其他不正当的证券交易活动；</w:t>
      </w:r>
    </w:p>
    <w:p w:rsidR="0016558F" w:rsidRPr="00286323" w:rsidRDefault="0016558F"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w:t>
      </w:r>
      <w:r w:rsidRPr="00286323">
        <w:rPr>
          <w:rFonts w:asciiTheme="minorEastAsia" w:eastAsiaTheme="minorEastAsia" w:hAnsiTheme="minorEastAsia" w:hint="eastAsia"/>
          <w:bCs/>
          <w:color w:val="000000" w:themeColor="text1"/>
        </w:rPr>
        <w:t>8</w:t>
      </w:r>
      <w:r w:rsidRPr="00286323">
        <w:rPr>
          <w:rFonts w:asciiTheme="minorEastAsia" w:eastAsiaTheme="minorEastAsia" w:hAnsiTheme="minorEastAsia"/>
          <w:bCs/>
          <w:color w:val="000000" w:themeColor="text1"/>
        </w:rPr>
        <w:t>）依照法律法规有关规定，由中国证监会规定禁止的其他活动</w:t>
      </w:r>
      <w:r w:rsidRPr="00286323">
        <w:rPr>
          <w:rFonts w:asciiTheme="minorEastAsia" w:eastAsiaTheme="minorEastAsia" w:hAnsiTheme="minorEastAsia" w:hint="eastAsia"/>
          <w:bCs/>
          <w:color w:val="000000" w:themeColor="text1"/>
        </w:rPr>
        <w:t>。</w:t>
      </w:r>
    </w:p>
    <w:p w:rsidR="0016558F" w:rsidRPr="00286323" w:rsidRDefault="0016558F"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bCs/>
          <w:color w:val="000000" w:themeColor="text1"/>
        </w:rPr>
        <w:t>若将来法律法规或中国证监会的相关规定发生修改或变更，致使前述约定的投资禁止行为和投资组合比例限制修改或取消，如适用于本基金，则本基金可相应调整禁止行为和投资限制规定。</w:t>
      </w:r>
    </w:p>
    <w:p w:rsidR="001A7CDB" w:rsidRPr="00286323" w:rsidRDefault="0016558F" w:rsidP="00F71D3B">
      <w:pPr>
        <w:pStyle w:val="20"/>
        <w:numPr>
          <w:ilvl w:val="0"/>
          <w:numId w:val="32"/>
        </w:numPr>
        <w:snapToGrid w:val="0"/>
        <w:spacing w:beforeLines="0" w:afterLines="0" w:line="360" w:lineRule="auto"/>
        <w:ind w:firstLineChars="0"/>
        <w:rPr>
          <w:rFonts w:asciiTheme="minorEastAsia" w:eastAsiaTheme="minorEastAsia" w:hAnsiTheme="minorEastAsia" w:cs="Arial"/>
          <w:b w:val="0"/>
          <w:color w:val="000000" w:themeColor="text1"/>
        </w:rPr>
      </w:pPr>
      <w:r w:rsidRPr="00286323">
        <w:rPr>
          <w:rFonts w:asciiTheme="minorEastAsia" w:eastAsiaTheme="minorEastAsia" w:hAnsiTheme="minorEastAsia" w:cs="Arial" w:hint="eastAsia"/>
          <w:b w:val="0"/>
          <w:color w:val="000000" w:themeColor="text1"/>
        </w:rPr>
        <w:t>标的指数和</w:t>
      </w:r>
      <w:r w:rsidR="001A7CDB" w:rsidRPr="00286323">
        <w:rPr>
          <w:rFonts w:asciiTheme="minorEastAsia" w:eastAsiaTheme="minorEastAsia" w:hAnsiTheme="minorEastAsia" w:cs="Arial"/>
          <w:b w:val="0"/>
          <w:color w:val="000000" w:themeColor="text1"/>
        </w:rPr>
        <w:t>业绩比较基准</w:t>
      </w:r>
    </w:p>
    <w:p w:rsidR="0016558F" w:rsidRPr="00286323" w:rsidRDefault="0016558F"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本基金的标的指数为：沪深300指数</w:t>
      </w:r>
    </w:p>
    <w:p w:rsidR="0016558F" w:rsidRPr="00286323" w:rsidRDefault="0016558F"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本基金的业绩比较基准为：</w:t>
      </w:r>
    </w:p>
    <w:p w:rsidR="001A7CDB" w:rsidRPr="00286323" w:rsidRDefault="001A7CDB" w:rsidP="00F71D3B">
      <w:pPr>
        <w:snapToGrid w:val="0"/>
        <w:spacing w:line="360" w:lineRule="auto"/>
        <w:ind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沪深300指数收益率</w:t>
      </w:r>
      <w:r w:rsidR="0016558F" w:rsidRPr="00286323">
        <w:rPr>
          <w:rFonts w:asciiTheme="minorEastAsia" w:eastAsiaTheme="minorEastAsia" w:hAnsiTheme="minorEastAsia" w:hint="eastAsia"/>
          <w:bCs/>
          <w:color w:val="000000" w:themeColor="text1"/>
        </w:rPr>
        <w:t>*95</w:t>
      </w:r>
      <w:r w:rsidRPr="00286323">
        <w:rPr>
          <w:rFonts w:asciiTheme="minorEastAsia" w:eastAsiaTheme="minorEastAsia" w:hAnsiTheme="minorEastAsia"/>
          <w:bCs/>
          <w:color w:val="000000" w:themeColor="text1"/>
        </w:rPr>
        <w:t>%+活期存款利率（税后）</w:t>
      </w:r>
      <w:r w:rsidR="0016558F" w:rsidRPr="00286323">
        <w:rPr>
          <w:rFonts w:asciiTheme="minorEastAsia" w:eastAsiaTheme="minorEastAsia" w:hAnsiTheme="minorEastAsia" w:hint="eastAsia"/>
          <w:bCs/>
          <w:color w:val="000000" w:themeColor="text1"/>
        </w:rPr>
        <w:t>*5</w:t>
      </w:r>
      <w:r w:rsidRPr="00286323">
        <w:rPr>
          <w:rFonts w:asciiTheme="minorEastAsia" w:eastAsiaTheme="minorEastAsia" w:hAnsiTheme="minorEastAsia"/>
          <w:bCs/>
          <w:color w:val="000000" w:themeColor="text1"/>
        </w:rPr>
        <w:t>%</w:t>
      </w:r>
    </w:p>
    <w:p w:rsidR="007C2A47" w:rsidRPr="00286323" w:rsidRDefault="007C2A47" w:rsidP="007C2A47">
      <w:pPr>
        <w:snapToGrid w:val="0"/>
        <w:spacing w:line="360" w:lineRule="auto"/>
        <w:ind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未来若出现标的指数不符合法律法规及监管的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6个月内召集基金份额持有人大会进行表决。</w:t>
      </w:r>
    </w:p>
    <w:p w:rsidR="0016558F" w:rsidRPr="00286323" w:rsidRDefault="007C2A47" w:rsidP="007C2A47">
      <w:pPr>
        <w:snapToGrid w:val="0"/>
        <w:spacing w:line="360" w:lineRule="auto"/>
        <w:ind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自指数编制机构停止标的指数的编制及发布至解决方案确定期间，基金管理人应按照指数编制机构提供的最近一个交易日的指数信息遵循基金份额持有人利益优先原则维持基金投资运作。</w:t>
      </w:r>
    </w:p>
    <w:p w:rsidR="001A7CDB" w:rsidRPr="00286323" w:rsidRDefault="001A7CDB" w:rsidP="00F71D3B">
      <w:pPr>
        <w:pStyle w:val="20"/>
        <w:numPr>
          <w:ilvl w:val="0"/>
          <w:numId w:val="32"/>
        </w:numPr>
        <w:snapToGrid w:val="0"/>
        <w:spacing w:beforeLines="0" w:afterLines="0" w:line="360" w:lineRule="auto"/>
        <w:ind w:firstLineChars="0"/>
        <w:rPr>
          <w:rFonts w:asciiTheme="minorEastAsia" w:eastAsiaTheme="minorEastAsia" w:hAnsiTheme="minorEastAsia" w:cs="Arial"/>
          <w:b w:val="0"/>
          <w:color w:val="000000" w:themeColor="text1"/>
        </w:rPr>
      </w:pPr>
      <w:r w:rsidRPr="00286323">
        <w:rPr>
          <w:rFonts w:asciiTheme="minorEastAsia" w:eastAsiaTheme="minorEastAsia" w:hAnsiTheme="minorEastAsia" w:cs="Arial"/>
          <w:b w:val="0"/>
          <w:color w:val="000000" w:themeColor="text1"/>
        </w:rPr>
        <w:t>风险收益特征</w:t>
      </w:r>
    </w:p>
    <w:p w:rsidR="0016558F" w:rsidRPr="00286323" w:rsidRDefault="0016558F"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本基金属股票型基金中的指数增强型基</w:t>
      </w:r>
      <w:r w:rsidRPr="00286323">
        <w:rPr>
          <w:rFonts w:asciiTheme="minorEastAsia" w:eastAsiaTheme="minorEastAsia" w:hAnsiTheme="minorEastAsia" w:hint="eastAsia"/>
          <w:color w:val="000000" w:themeColor="text1"/>
          <w:spacing w:val="1"/>
        </w:rPr>
        <w:t>金</w:t>
      </w:r>
      <w:r w:rsidRPr="00286323">
        <w:rPr>
          <w:rFonts w:asciiTheme="minorEastAsia" w:eastAsiaTheme="minorEastAsia" w:hAnsiTheme="minorEastAsia" w:hint="eastAsia"/>
          <w:color w:val="000000" w:themeColor="text1"/>
        </w:rPr>
        <w:t>，预期风险与预期收益水平高于混合型基金、债券型基金与货币市场基金。</w:t>
      </w:r>
    </w:p>
    <w:p w:rsidR="0016558F" w:rsidRPr="00286323" w:rsidRDefault="0016558F" w:rsidP="00F71D3B">
      <w:pPr>
        <w:pStyle w:val="20"/>
        <w:numPr>
          <w:ilvl w:val="0"/>
          <w:numId w:val="32"/>
        </w:numPr>
        <w:snapToGrid w:val="0"/>
        <w:spacing w:beforeLines="0" w:afterLines="0" w:line="360" w:lineRule="auto"/>
        <w:ind w:firstLineChars="0"/>
        <w:rPr>
          <w:rFonts w:asciiTheme="minorEastAsia" w:eastAsiaTheme="minorEastAsia" w:hAnsiTheme="minorEastAsia" w:cs="宋体"/>
          <w:b w:val="0"/>
          <w:color w:val="000000" w:themeColor="text1"/>
          <w:szCs w:val="21"/>
        </w:rPr>
      </w:pPr>
      <w:r w:rsidRPr="00286323">
        <w:rPr>
          <w:rFonts w:asciiTheme="minorEastAsia" w:eastAsiaTheme="minorEastAsia" w:hAnsiTheme="minorEastAsia" w:cs="宋体" w:hint="eastAsia"/>
          <w:b w:val="0"/>
          <w:color w:val="000000" w:themeColor="text1"/>
          <w:szCs w:val="21"/>
        </w:rPr>
        <w:t>基金的融资、融券、转融通</w:t>
      </w:r>
    </w:p>
    <w:p w:rsidR="0016558F" w:rsidRPr="00286323" w:rsidRDefault="0016558F" w:rsidP="00F71D3B">
      <w:pPr>
        <w:snapToGrid w:val="0"/>
        <w:spacing w:line="360" w:lineRule="auto"/>
        <w:ind w:firstLineChars="200" w:firstLine="420"/>
        <w:rPr>
          <w:rFonts w:asciiTheme="minorEastAsia" w:eastAsiaTheme="minorEastAsia" w:hAnsiTheme="minorEastAsia"/>
          <w:color w:val="000000" w:themeColor="text1"/>
        </w:rPr>
      </w:pPr>
      <w:bookmarkStart w:id="80" w:name="_Toc79392634"/>
      <w:r w:rsidRPr="00286323">
        <w:rPr>
          <w:rFonts w:asciiTheme="minorEastAsia" w:eastAsiaTheme="minorEastAsia" w:hAnsiTheme="minorEastAsia" w:hint="eastAsia"/>
          <w:bCs/>
          <w:color w:val="000000" w:themeColor="text1"/>
        </w:rPr>
        <w:t>本基金可以根据届时有效的有关法律法规和政策的规定进行融资融券、转融通。待基金参与融资融券和转融通业务的相关规定颁布后，基金管理人可以在不改变本基金既有投资目标、策略和风险收益特征并在控制风险的前提下，参与融资融券业务以及通过证券金</w:t>
      </w:r>
      <w:r w:rsidRPr="00286323">
        <w:rPr>
          <w:rFonts w:asciiTheme="minorEastAsia" w:eastAsiaTheme="minorEastAsia" w:hAnsiTheme="minorEastAsia" w:hint="eastAsia"/>
          <w:bCs/>
          <w:color w:val="000000" w:themeColor="text1"/>
        </w:rPr>
        <w:lastRenderedPageBreak/>
        <w:t>融公司办理转融通业务，以提高投资效率及进行风险管理。届时基金参与融资融券、转融通等业务的风险控制原则、具体参与比例限制、费用收支、信息披露、估值方法及其他相关事项按照中国证监会的规定及其他相关法律法规的要求执行，无需召开基金份额持有人大会审议。</w:t>
      </w:r>
      <w:bookmarkEnd w:id="80"/>
    </w:p>
    <w:p w:rsidR="0016558F" w:rsidRPr="00286323" w:rsidRDefault="0016558F" w:rsidP="00F71D3B">
      <w:pPr>
        <w:pStyle w:val="20"/>
        <w:numPr>
          <w:ilvl w:val="0"/>
          <w:numId w:val="32"/>
        </w:numPr>
        <w:snapToGrid w:val="0"/>
        <w:spacing w:beforeLines="0" w:afterLines="0" w:line="360" w:lineRule="auto"/>
        <w:ind w:firstLineChars="0"/>
        <w:rPr>
          <w:rFonts w:asciiTheme="minorEastAsia" w:eastAsiaTheme="minorEastAsia" w:hAnsiTheme="minorEastAsia" w:cs="宋体"/>
          <w:b w:val="0"/>
          <w:color w:val="000000" w:themeColor="text1"/>
          <w:szCs w:val="21"/>
        </w:rPr>
      </w:pPr>
      <w:r w:rsidRPr="00286323">
        <w:rPr>
          <w:rFonts w:asciiTheme="minorEastAsia" w:eastAsiaTheme="minorEastAsia" w:hAnsiTheme="minorEastAsia" w:cs="宋体"/>
          <w:b w:val="0"/>
          <w:color w:val="000000" w:themeColor="text1"/>
          <w:szCs w:val="21"/>
        </w:rPr>
        <w:t>未来，如果基金管理人推出</w:t>
      </w:r>
      <w:r w:rsidRPr="00286323">
        <w:rPr>
          <w:rFonts w:asciiTheme="minorEastAsia" w:eastAsiaTheme="minorEastAsia" w:hAnsiTheme="minorEastAsia" w:cs="宋体" w:hint="eastAsia"/>
          <w:b w:val="0"/>
          <w:color w:val="000000" w:themeColor="text1"/>
          <w:szCs w:val="21"/>
        </w:rPr>
        <w:t>与本基金投资目标、投资策略相同的</w:t>
      </w:r>
      <w:r w:rsidRPr="00286323">
        <w:rPr>
          <w:rFonts w:asciiTheme="minorEastAsia" w:eastAsiaTheme="minorEastAsia" w:hAnsiTheme="minorEastAsia" w:cs="宋体"/>
          <w:b w:val="0"/>
          <w:color w:val="000000" w:themeColor="text1"/>
          <w:szCs w:val="21"/>
        </w:rPr>
        <w:t>ETF，在不改变本基金投资目标的前提下，</w:t>
      </w:r>
      <w:r w:rsidRPr="00286323">
        <w:rPr>
          <w:rFonts w:asciiTheme="minorEastAsia" w:eastAsiaTheme="minorEastAsia" w:hAnsiTheme="minorEastAsia" w:cs="宋体" w:hint="eastAsia"/>
          <w:b w:val="0"/>
          <w:color w:val="000000" w:themeColor="text1"/>
          <w:szCs w:val="21"/>
        </w:rPr>
        <w:t>经基金管理人与基金托管人协商一致，</w:t>
      </w:r>
      <w:r w:rsidRPr="00286323">
        <w:rPr>
          <w:rFonts w:asciiTheme="minorEastAsia" w:eastAsiaTheme="minorEastAsia" w:hAnsiTheme="minorEastAsia" w:cs="宋体"/>
          <w:b w:val="0"/>
          <w:color w:val="000000" w:themeColor="text1"/>
          <w:szCs w:val="21"/>
        </w:rPr>
        <w:t>本基金</w:t>
      </w:r>
      <w:r w:rsidRPr="00286323">
        <w:rPr>
          <w:rFonts w:asciiTheme="minorEastAsia" w:eastAsiaTheme="minorEastAsia" w:hAnsiTheme="minorEastAsia" w:cs="宋体" w:hint="eastAsia"/>
          <w:b w:val="0"/>
          <w:color w:val="000000" w:themeColor="text1"/>
          <w:szCs w:val="21"/>
        </w:rPr>
        <w:t>可</w:t>
      </w:r>
      <w:r w:rsidRPr="00286323">
        <w:rPr>
          <w:rFonts w:asciiTheme="minorEastAsia" w:eastAsiaTheme="minorEastAsia" w:hAnsiTheme="minorEastAsia" w:cs="宋体"/>
          <w:b w:val="0"/>
          <w:color w:val="000000" w:themeColor="text1"/>
          <w:szCs w:val="21"/>
        </w:rPr>
        <w:t>转为</w:t>
      </w:r>
      <w:r w:rsidRPr="00286323">
        <w:rPr>
          <w:rFonts w:asciiTheme="minorEastAsia" w:eastAsiaTheme="minorEastAsia" w:hAnsiTheme="minorEastAsia" w:cs="宋体" w:hint="eastAsia"/>
          <w:b w:val="0"/>
          <w:color w:val="000000" w:themeColor="text1"/>
          <w:szCs w:val="21"/>
        </w:rPr>
        <w:t>该</w:t>
      </w:r>
      <w:r w:rsidRPr="00286323">
        <w:rPr>
          <w:rFonts w:asciiTheme="minorEastAsia" w:eastAsiaTheme="minorEastAsia" w:hAnsiTheme="minorEastAsia" w:cs="宋体"/>
          <w:b w:val="0"/>
          <w:color w:val="000000" w:themeColor="text1"/>
          <w:szCs w:val="21"/>
        </w:rPr>
        <w:t>ETF的联接基金</w:t>
      </w:r>
      <w:r w:rsidRPr="00286323">
        <w:rPr>
          <w:rFonts w:asciiTheme="minorEastAsia" w:eastAsiaTheme="minorEastAsia" w:hAnsiTheme="minorEastAsia" w:cs="宋体" w:hint="eastAsia"/>
          <w:b w:val="0"/>
          <w:color w:val="000000" w:themeColor="text1"/>
          <w:szCs w:val="21"/>
        </w:rPr>
        <w:t>，无需召开基金份额持有人大会</w:t>
      </w:r>
      <w:r w:rsidRPr="00286323">
        <w:rPr>
          <w:rFonts w:asciiTheme="minorEastAsia" w:eastAsiaTheme="minorEastAsia" w:hAnsiTheme="minorEastAsia" w:cs="宋体"/>
          <w:b w:val="0"/>
          <w:color w:val="000000" w:themeColor="text1"/>
          <w:szCs w:val="21"/>
        </w:rPr>
        <w:t>。ETF联接基金是指将其绝大部分基金财产投资于跟踪同一标的指数的ETF，紧密跟踪标的指数表现，追求跟踪偏离度和跟踪误差最小化，采用开放式运作方式的基金。</w:t>
      </w:r>
    </w:p>
    <w:p w:rsidR="001A7CDB" w:rsidRPr="00286323" w:rsidRDefault="001A7CDB" w:rsidP="00F71D3B">
      <w:pPr>
        <w:pStyle w:val="20"/>
        <w:numPr>
          <w:ilvl w:val="0"/>
          <w:numId w:val="32"/>
        </w:numPr>
        <w:snapToGrid w:val="0"/>
        <w:spacing w:beforeLines="0" w:afterLines="0" w:line="360" w:lineRule="auto"/>
        <w:ind w:firstLineChars="0"/>
        <w:rPr>
          <w:rFonts w:asciiTheme="minorEastAsia" w:eastAsiaTheme="minorEastAsia" w:hAnsiTheme="minorEastAsia" w:cs="Arial"/>
          <w:b w:val="0"/>
          <w:color w:val="000000" w:themeColor="text1"/>
        </w:rPr>
      </w:pPr>
      <w:r w:rsidRPr="00286323">
        <w:rPr>
          <w:rFonts w:asciiTheme="minorEastAsia" w:eastAsiaTheme="minorEastAsia" w:hAnsiTheme="minorEastAsia" w:cs="Arial"/>
          <w:b w:val="0"/>
          <w:color w:val="000000" w:themeColor="text1"/>
        </w:rPr>
        <w:t>投资组合比例调整</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基金管理人应当自基金合同生效之日起六个月内使基金的投资组合比例符合基金合同的约定。因证券市场波动、上市公司合并、基金规模变动等基金管理人之外的因素致使基金投资不符合基金合同约定的投资比例规定的，基金管理人应当在十个交易日内进行调整。法律法规或监管机构另有规定时，从其规定。</w:t>
      </w:r>
    </w:p>
    <w:p w:rsidR="001A7CDB" w:rsidRPr="00286323" w:rsidRDefault="001A7CDB" w:rsidP="00F71D3B">
      <w:pPr>
        <w:pStyle w:val="20"/>
        <w:numPr>
          <w:ilvl w:val="0"/>
          <w:numId w:val="32"/>
        </w:numPr>
        <w:snapToGrid w:val="0"/>
        <w:spacing w:beforeLines="0" w:afterLines="0" w:line="360" w:lineRule="auto"/>
        <w:ind w:firstLineChars="0"/>
        <w:rPr>
          <w:rFonts w:asciiTheme="minorEastAsia" w:eastAsiaTheme="minorEastAsia" w:hAnsiTheme="minorEastAsia" w:cs="Arial"/>
          <w:b w:val="0"/>
          <w:color w:val="000000" w:themeColor="text1"/>
        </w:rPr>
      </w:pPr>
      <w:r w:rsidRPr="00286323">
        <w:rPr>
          <w:rFonts w:asciiTheme="minorEastAsia" w:eastAsiaTheme="minorEastAsia" w:hAnsiTheme="minorEastAsia" w:cs="Arial"/>
          <w:b w:val="0"/>
          <w:color w:val="000000" w:themeColor="text1"/>
        </w:rPr>
        <w:t>基金管理人代表基金行使股东权利的处理原则及方法</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w:t>
      </w:r>
      <w:r w:rsidRPr="00286323">
        <w:rPr>
          <w:rFonts w:asciiTheme="minorEastAsia" w:eastAsiaTheme="minorEastAsia" w:hAnsiTheme="minorEastAsia" w:cs="Arial" w:hint="eastAsia"/>
          <w:color w:val="000000" w:themeColor="text1"/>
        </w:rPr>
        <w:t>、</w:t>
      </w:r>
      <w:r w:rsidRPr="00286323">
        <w:rPr>
          <w:rFonts w:asciiTheme="minorEastAsia" w:eastAsiaTheme="minorEastAsia" w:hAnsiTheme="minorEastAsia" w:cs="Arial"/>
          <w:color w:val="000000" w:themeColor="text1"/>
        </w:rPr>
        <w:t>基金管理人按照国家有关规定代表基金独立行使股东权利，保护基金份额持有人的利益；</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2</w:t>
      </w:r>
      <w:r w:rsidRPr="00286323">
        <w:rPr>
          <w:rFonts w:asciiTheme="minorEastAsia" w:eastAsiaTheme="minorEastAsia" w:hAnsiTheme="minorEastAsia" w:cs="Arial" w:hint="eastAsia"/>
          <w:color w:val="000000" w:themeColor="text1"/>
        </w:rPr>
        <w:t>、</w:t>
      </w:r>
      <w:r w:rsidRPr="00286323">
        <w:rPr>
          <w:rFonts w:asciiTheme="minorEastAsia" w:eastAsiaTheme="minorEastAsia" w:hAnsiTheme="minorEastAsia" w:cs="Arial"/>
          <w:color w:val="000000" w:themeColor="text1"/>
        </w:rPr>
        <w:t>有利于基金财产的安全与增值；</w:t>
      </w:r>
      <w:bookmarkEnd w:id="77"/>
      <w:bookmarkEnd w:id="78"/>
      <w:bookmarkEnd w:id="79"/>
    </w:p>
    <w:p w:rsidR="00EB2D68" w:rsidRPr="00286323" w:rsidRDefault="0083576F" w:rsidP="00F71D3B">
      <w:pPr>
        <w:pStyle w:val="20"/>
        <w:numPr>
          <w:ilvl w:val="0"/>
          <w:numId w:val="32"/>
        </w:numPr>
        <w:snapToGrid w:val="0"/>
        <w:spacing w:beforeLines="0" w:afterLines="0" w:line="360" w:lineRule="auto"/>
        <w:ind w:firstLineChars="0"/>
        <w:rPr>
          <w:rFonts w:asciiTheme="minorEastAsia" w:eastAsiaTheme="minorEastAsia" w:hAnsiTheme="minorEastAsia" w:cs="Arial"/>
          <w:b w:val="0"/>
          <w:color w:val="000000" w:themeColor="text1"/>
        </w:rPr>
      </w:pPr>
      <w:r w:rsidRPr="00286323">
        <w:rPr>
          <w:rFonts w:asciiTheme="minorEastAsia" w:eastAsiaTheme="minorEastAsia" w:hAnsiTheme="minorEastAsia" w:cs="Arial" w:hint="eastAsia"/>
          <w:b w:val="0"/>
          <w:color w:val="000000" w:themeColor="text1"/>
        </w:rPr>
        <w:t>基金投资组合报告（未经审计）</w:t>
      </w:r>
    </w:p>
    <w:p w:rsidR="0083576F" w:rsidRPr="00286323" w:rsidRDefault="0083576F" w:rsidP="00F71D3B">
      <w:pPr>
        <w:pStyle w:val="af3"/>
        <w:snapToGrid w:val="0"/>
        <w:spacing w:line="360" w:lineRule="auto"/>
        <w:ind w:firstLineChars="200" w:firstLine="420"/>
        <w:rPr>
          <w:rFonts w:asciiTheme="minorEastAsia" w:eastAsiaTheme="minorEastAsia" w:hAnsiTheme="minorEastAsia"/>
          <w:color w:val="000000" w:themeColor="text1"/>
          <w:sz w:val="21"/>
          <w:szCs w:val="21"/>
        </w:rPr>
      </w:pPr>
      <w:r w:rsidRPr="00286323">
        <w:rPr>
          <w:rFonts w:asciiTheme="minorEastAsia" w:eastAsiaTheme="minorEastAsia" w:hAnsiTheme="minorEastAsia" w:hint="eastAsia"/>
          <w:color w:val="000000" w:themeColor="text1"/>
          <w:sz w:val="21"/>
          <w:szCs w:val="21"/>
        </w:rPr>
        <w:t>本基金管理人的董事会及董事保证本报告所载资料不存在虚假记载、误导性陈述或重大遗漏，并对其内容的真实性、准确性和完整性承担个别及连带责任。</w:t>
      </w:r>
    </w:p>
    <w:p w:rsidR="0083576F" w:rsidRPr="00286323" w:rsidRDefault="0083576F" w:rsidP="00F71D3B">
      <w:pPr>
        <w:pStyle w:val="af3"/>
        <w:snapToGrid w:val="0"/>
        <w:spacing w:line="360" w:lineRule="auto"/>
        <w:ind w:firstLine="420"/>
        <w:rPr>
          <w:rFonts w:asciiTheme="minorEastAsia" w:eastAsiaTheme="minorEastAsia" w:hAnsiTheme="minorEastAsia"/>
          <w:color w:val="000000" w:themeColor="text1"/>
          <w:sz w:val="21"/>
          <w:szCs w:val="21"/>
        </w:rPr>
      </w:pPr>
      <w:r w:rsidRPr="00286323">
        <w:rPr>
          <w:rFonts w:asciiTheme="minorEastAsia" w:eastAsiaTheme="minorEastAsia" w:hAnsiTheme="minorEastAsia" w:hint="eastAsia"/>
          <w:color w:val="000000" w:themeColor="text1"/>
          <w:sz w:val="21"/>
          <w:szCs w:val="21"/>
        </w:rPr>
        <w:t>本基金的托管人</w:t>
      </w:r>
      <w:r w:rsidR="00D75CA1" w:rsidRPr="00286323">
        <w:rPr>
          <w:rFonts w:asciiTheme="minorEastAsia" w:eastAsiaTheme="minorEastAsia" w:hAnsiTheme="minorEastAsia" w:hint="eastAsia"/>
          <w:color w:val="000000" w:themeColor="text1"/>
          <w:sz w:val="21"/>
          <w:szCs w:val="21"/>
        </w:rPr>
        <w:t>中国建设银行股份有限公司</w:t>
      </w:r>
      <w:r w:rsidRPr="00286323">
        <w:rPr>
          <w:rFonts w:asciiTheme="minorEastAsia" w:eastAsiaTheme="minorEastAsia" w:hAnsiTheme="minorEastAsia" w:hint="eastAsia"/>
          <w:color w:val="000000" w:themeColor="text1"/>
          <w:sz w:val="21"/>
          <w:szCs w:val="21"/>
        </w:rPr>
        <w:t>根据本基金合同的规定，复核了本报告的内容，保证复核内容不存在虚假记载、误导性陈述或者重大遗漏。</w:t>
      </w:r>
    </w:p>
    <w:p w:rsidR="00456977" w:rsidRPr="00286323" w:rsidRDefault="008F1DC3" w:rsidP="00456977">
      <w:pPr>
        <w:snapToGrid w:val="0"/>
        <w:spacing w:line="360" w:lineRule="auto"/>
        <w:ind w:firstLineChars="200" w:firstLine="420"/>
        <w:rPr>
          <w:rFonts w:asciiTheme="minorEastAsia" w:eastAsiaTheme="minorEastAsia" w:hAnsiTheme="minorEastAsia" w:cs="Times New Roman"/>
          <w:color w:val="000000" w:themeColor="text1"/>
          <w:kern w:val="2"/>
          <w:szCs w:val="24"/>
        </w:rPr>
      </w:pPr>
      <w:r w:rsidRPr="00286323">
        <w:rPr>
          <w:rFonts w:asciiTheme="minorEastAsia" w:eastAsiaTheme="minorEastAsia" w:hAnsiTheme="minorEastAsia"/>
          <w:color w:val="000000" w:themeColor="text1"/>
        </w:rPr>
        <w:t>本投资组合报告有关数据的期间为2020年10月1日至2020年12月31日。</w:t>
      </w:r>
    </w:p>
    <w:p w:rsidR="00155EFC" w:rsidRPr="00286323" w:rsidRDefault="00750911" w:rsidP="00155EFC">
      <w:pPr>
        <w:autoSpaceDE w:val="0"/>
        <w:autoSpaceDN w:val="0"/>
        <w:adjustRightInd w:val="0"/>
        <w:spacing w:line="300" w:lineRule="auto"/>
        <w:jc w:val="left"/>
        <w:rPr>
          <w:rFonts w:asciiTheme="minorEastAsia" w:eastAsiaTheme="minorEastAsia" w:hAnsiTheme="minorEastAsia" w:cs="Arial"/>
          <w:color w:val="000000" w:themeColor="text1"/>
          <w:szCs w:val="24"/>
        </w:rPr>
      </w:pPr>
      <w:r w:rsidRPr="00286323">
        <w:rPr>
          <w:rFonts w:asciiTheme="minorEastAsia" w:eastAsiaTheme="minorEastAsia" w:hAnsiTheme="minorEastAsia" w:cs="Arial" w:hint="eastAsia"/>
          <w:color w:val="000000" w:themeColor="text1"/>
        </w:rPr>
        <w:t>1、 报告期末基金资产组合情况</w:t>
      </w:r>
    </w:p>
    <w:tbl>
      <w:tblPr>
        <w:tblW w:w="8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3005"/>
        <w:gridCol w:w="2668"/>
        <w:gridCol w:w="1662"/>
      </w:tblGrid>
      <w:tr w:rsidR="00286323" w:rsidRPr="00286323" w:rsidTr="00155EFC">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center"/>
              <w:rPr>
                <w:rFonts w:asciiTheme="minorEastAsia" w:eastAsiaTheme="minorEastAsia" w:hAnsiTheme="minorEastAsia" w:cs="Times New Roman"/>
                <w:color w:val="000000" w:themeColor="text1"/>
              </w:rPr>
            </w:pPr>
            <w:r w:rsidRPr="00286323">
              <w:rPr>
                <w:rFonts w:asciiTheme="minorEastAsia" w:eastAsiaTheme="minorEastAsia" w:hAnsiTheme="minorEastAsia" w:hint="eastAsia"/>
                <w:color w:val="000000" w:themeColor="text1"/>
              </w:rPr>
              <w:t>序号</w:t>
            </w:r>
          </w:p>
        </w:tc>
        <w:tc>
          <w:tcPr>
            <w:tcW w:w="3357"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center"/>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项目</w:t>
            </w:r>
          </w:p>
        </w:tc>
        <w:tc>
          <w:tcPr>
            <w:tcW w:w="2977"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center"/>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金额（元）</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center"/>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占基金总资产的比例（</w:t>
            </w:r>
            <w:r w:rsidRPr="00286323">
              <w:rPr>
                <w:rFonts w:asciiTheme="minorEastAsia" w:eastAsiaTheme="minorEastAsia" w:hAnsiTheme="minorEastAsia"/>
                <w:color w:val="000000" w:themeColor="text1"/>
              </w:rPr>
              <w:t>%</w:t>
            </w:r>
            <w:r w:rsidRPr="00286323">
              <w:rPr>
                <w:rFonts w:asciiTheme="minorEastAsia" w:eastAsiaTheme="minorEastAsia" w:hAnsiTheme="minorEastAsia" w:hint="eastAsia"/>
                <w:color w:val="000000" w:themeColor="text1"/>
              </w:rPr>
              <w:t>）</w:t>
            </w:r>
          </w:p>
        </w:tc>
      </w:tr>
      <w:tr w:rsidR="00286323" w:rsidRPr="00286323" w:rsidTr="00155EFC">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lastRenderedPageBreak/>
              <w:t>1</w:t>
            </w:r>
          </w:p>
        </w:tc>
        <w:tc>
          <w:tcPr>
            <w:tcW w:w="3357"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权益投资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1,400,789,759.52</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94.08</w:t>
            </w:r>
          </w:p>
        </w:tc>
      </w:tr>
      <w:tr w:rsidR="00286323" w:rsidRPr="00286323" w:rsidTr="00155EF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55EFC" w:rsidRPr="00286323" w:rsidRDefault="00155EFC" w:rsidP="00155EFC">
            <w:pPr>
              <w:spacing w:before="29" w:line="300" w:lineRule="auto"/>
              <w:ind w:left="17"/>
              <w:jc w:val="center"/>
              <w:rPr>
                <w:rFonts w:asciiTheme="minorEastAsia" w:eastAsiaTheme="minorEastAsia" w:hAnsiTheme="minorEastAsia"/>
                <w:color w:val="000000" w:themeColor="text1"/>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其中：股票</w:t>
            </w:r>
          </w:p>
        </w:tc>
        <w:tc>
          <w:tcPr>
            <w:tcW w:w="2977"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1,400,789,759.52</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94.08</w:t>
            </w:r>
          </w:p>
        </w:tc>
      </w:tr>
      <w:tr w:rsidR="00286323" w:rsidRPr="00286323" w:rsidTr="00155EFC">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w:t>
            </w:r>
          </w:p>
        </w:tc>
        <w:tc>
          <w:tcPr>
            <w:tcW w:w="3357"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固定收益投资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r>
      <w:tr w:rsidR="00286323" w:rsidRPr="00286323" w:rsidTr="00155EF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55EFC" w:rsidRPr="00286323" w:rsidRDefault="00155EFC" w:rsidP="00155EFC">
            <w:pPr>
              <w:spacing w:before="29" w:line="300" w:lineRule="auto"/>
              <w:ind w:left="17"/>
              <w:jc w:val="center"/>
              <w:rPr>
                <w:rFonts w:asciiTheme="minorEastAsia" w:eastAsiaTheme="minorEastAsia" w:hAnsiTheme="minorEastAsia"/>
                <w:color w:val="000000" w:themeColor="text1"/>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其中：债券</w:t>
            </w:r>
          </w:p>
        </w:tc>
        <w:tc>
          <w:tcPr>
            <w:tcW w:w="2977"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r>
      <w:tr w:rsidR="00286323" w:rsidRPr="00286323" w:rsidTr="00155EF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55EFC" w:rsidRPr="00286323" w:rsidRDefault="00155EFC" w:rsidP="00155EFC">
            <w:pPr>
              <w:spacing w:before="29" w:line="300" w:lineRule="auto"/>
              <w:ind w:left="17"/>
              <w:jc w:val="center"/>
              <w:rPr>
                <w:rFonts w:asciiTheme="minorEastAsia" w:eastAsiaTheme="minorEastAsia" w:hAnsiTheme="minorEastAsia"/>
                <w:color w:val="000000" w:themeColor="text1"/>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autoSpaceDE w:val="0"/>
              <w:autoSpaceDN w:val="0"/>
              <w:adjustRightInd w:val="0"/>
              <w:spacing w:before="29" w:line="300" w:lineRule="auto"/>
              <w:ind w:left="17"/>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资产支持证券</w:t>
            </w:r>
          </w:p>
        </w:tc>
        <w:tc>
          <w:tcPr>
            <w:tcW w:w="2977"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r>
      <w:tr w:rsidR="00286323" w:rsidRPr="00286323" w:rsidTr="00155EFC">
        <w:trPr>
          <w:jc w:val="center"/>
        </w:trPr>
        <w:tc>
          <w:tcPr>
            <w:tcW w:w="720" w:type="dxa"/>
            <w:tcBorders>
              <w:top w:val="single" w:sz="4" w:space="0" w:color="auto"/>
              <w:left w:val="single" w:sz="4" w:space="0" w:color="auto"/>
              <w:bottom w:val="single" w:sz="4" w:space="0" w:color="auto"/>
              <w:right w:val="single" w:sz="4" w:space="0" w:color="auto"/>
            </w:tcBorders>
            <w:hideMark/>
          </w:tcPr>
          <w:p w:rsidR="00155EFC" w:rsidRPr="00286323" w:rsidRDefault="00750911" w:rsidP="00155EFC">
            <w:pPr>
              <w:spacing w:before="29" w:line="300" w:lineRule="auto"/>
              <w:ind w:left="17"/>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3</w:t>
            </w:r>
          </w:p>
        </w:tc>
        <w:tc>
          <w:tcPr>
            <w:tcW w:w="3357" w:type="dxa"/>
            <w:tcBorders>
              <w:top w:val="single" w:sz="4" w:space="0" w:color="auto"/>
              <w:left w:val="single" w:sz="4" w:space="0" w:color="auto"/>
              <w:bottom w:val="single" w:sz="4" w:space="0" w:color="auto"/>
              <w:right w:val="single" w:sz="4" w:space="0" w:color="auto"/>
            </w:tcBorders>
            <w:hideMark/>
          </w:tcPr>
          <w:p w:rsidR="00155EFC" w:rsidRPr="00286323" w:rsidRDefault="00750911" w:rsidP="00155EFC">
            <w:pPr>
              <w:spacing w:before="29" w:line="300" w:lineRule="auto"/>
              <w:ind w:leftChars="50" w:left="105"/>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贵金属投资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r>
      <w:tr w:rsidR="00286323" w:rsidRPr="00286323" w:rsidTr="00155EFC">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4</w:t>
            </w:r>
          </w:p>
        </w:tc>
        <w:tc>
          <w:tcPr>
            <w:tcW w:w="3357"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金融衍生品投资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r>
      <w:tr w:rsidR="00286323" w:rsidRPr="00286323" w:rsidTr="00155EFC">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5</w:t>
            </w:r>
          </w:p>
        </w:tc>
        <w:tc>
          <w:tcPr>
            <w:tcW w:w="3357"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买入返售金融资产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r>
      <w:tr w:rsidR="00286323" w:rsidRPr="00286323" w:rsidTr="00155EF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155EFC" w:rsidRPr="00286323" w:rsidRDefault="00155EFC" w:rsidP="00155EFC">
            <w:pPr>
              <w:spacing w:before="29" w:line="300" w:lineRule="auto"/>
              <w:ind w:left="17"/>
              <w:jc w:val="center"/>
              <w:rPr>
                <w:rFonts w:asciiTheme="minorEastAsia" w:eastAsiaTheme="minorEastAsia" w:hAnsiTheme="minorEastAsia"/>
                <w:color w:val="000000" w:themeColor="text1"/>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其中：买断式回购的买入返售金融资产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r>
      <w:tr w:rsidR="00286323" w:rsidRPr="00286323" w:rsidTr="00155EFC">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6</w:t>
            </w:r>
          </w:p>
        </w:tc>
        <w:tc>
          <w:tcPr>
            <w:tcW w:w="3357"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银行存款和结算备付金合计</w:t>
            </w:r>
          </w:p>
        </w:tc>
        <w:tc>
          <w:tcPr>
            <w:tcW w:w="2977"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86,078,445.86</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5.78</w:t>
            </w:r>
          </w:p>
        </w:tc>
      </w:tr>
      <w:tr w:rsidR="00286323" w:rsidRPr="00286323" w:rsidTr="00155EFC">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7</w:t>
            </w:r>
          </w:p>
        </w:tc>
        <w:tc>
          <w:tcPr>
            <w:tcW w:w="3357"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其他资产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2,043,002.57</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0.14</w:t>
            </w:r>
          </w:p>
        </w:tc>
      </w:tr>
      <w:tr w:rsidR="00286323" w:rsidRPr="00286323" w:rsidTr="00155EFC">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8</w:t>
            </w:r>
          </w:p>
        </w:tc>
        <w:tc>
          <w:tcPr>
            <w:tcW w:w="3357"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合计</w:t>
            </w:r>
          </w:p>
        </w:tc>
        <w:tc>
          <w:tcPr>
            <w:tcW w:w="2977"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1,488,911,207.95</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100.00</w:t>
            </w:r>
          </w:p>
        </w:tc>
      </w:tr>
    </w:tbl>
    <w:p w:rsidR="00155EFC" w:rsidRPr="00286323" w:rsidRDefault="00750911" w:rsidP="00155EFC">
      <w:pPr>
        <w:autoSpaceDE w:val="0"/>
        <w:autoSpaceDN w:val="0"/>
        <w:adjustRightInd w:val="0"/>
        <w:spacing w:line="300" w:lineRule="auto"/>
        <w:jc w:val="left"/>
        <w:rPr>
          <w:rFonts w:asciiTheme="minorEastAsia" w:eastAsiaTheme="minorEastAsia" w:hAnsiTheme="minorEastAsia" w:cs="Times New Roman"/>
          <w:color w:val="000000" w:themeColor="text1"/>
        </w:rPr>
      </w:pPr>
      <w:r w:rsidRPr="00286323">
        <w:rPr>
          <w:rFonts w:asciiTheme="minorEastAsia" w:eastAsiaTheme="minorEastAsia" w:hAnsiTheme="minorEastAsia"/>
          <w:color w:val="000000" w:themeColor="text1"/>
        </w:rPr>
        <w:t>2、 报告期末按行业分类的股票投资组合</w:t>
      </w:r>
    </w:p>
    <w:p w:rsidR="00155EFC" w:rsidRPr="00286323" w:rsidRDefault="00750911" w:rsidP="00155EFC">
      <w:pPr>
        <w:autoSpaceDE w:val="0"/>
        <w:autoSpaceDN w:val="0"/>
        <w:adjustRightInd w:val="0"/>
        <w:spacing w:line="300" w:lineRule="auto"/>
        <w:jc w:val="lef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（1）报告期末按行业分类的境内股票投资组合</w:t>
      </w:r>
    </w:p>
    <w:p w:rsidR="00155EFC" w:rsidRPr="00286323" w:rsidRDefault="00852C65" w:rsidP="00155EFC">
      <w:pPr>
        <w:autoSpaceDE w:val="0"/>
        <w:autoSpaceDN w:val="0"/>
        <w:adjustRightInd w:val="0"/>
        <w:spacing w:line="300" w:lineRule="auto"/>
        <w:jc w:val="lef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w:t>
      </w:r>
      <w:r w:rsidRPr="00286323">
        <w:rPr>
          <w:rFonts w:asciiTheme="minorEastAsia" w:eastAsiaTheme="minorEastAsia" w:hAnsiTheme="minorEastAsia" w:hint="eastAsia"/>
          <w:color w:val="000000" w:themeColor="text1"/>
        </w:rPr>
        <w:t>）</w:t>
      </w:r>
      <w:r w:rsidR="00750911" w:rsidRPr="00286323">
        <w:rPr>
          <w:rFonts w:asciiTheme="minorEastAsia" w:eastAsiaTheme="minorEastAsia" w:hAnsiTheme="minorEastAsia" w:hint="eastAsia"/>
          <w:color w:val="000000" w:themeColor="text1"/>
        </w:rPr>
        <w:t>积极投资按行业分类的股票投资组合</w:t>
      </w:r>
    </w:p>
    <w:tbl>
      <w:tblPr>
        <w:tblW w:w="800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8"/>
        <w:gridCol w:w="3380"/>
        <w:gridCol w:w="2611"/>
        <w:gridCol w:w="1511"/>
      </w:tblGrid>
      <w:tr w:rsidR="00286323" w:rsidRPr="00286323" w:rsidTr="00155EFC">
        <w:trPr>
          <w:trHeight w:val="390"/>
        </w:trPr>
        <w:tc>
          <w:tcPr>
            <w:tcW w:w="540" w:type="dxa"/>
            <w:tcBorders>
              <w:top w:val="single" w:sz="4" w:space="0" w:color="000000"/>
              <w:left w:val="single" w:sz="4" w:space="0" w:color="000000"/>
              <w:bottom w:val="single" w:sz="4" w:space="0" w:color="000000"/>
              <w:right w:val="single" w:sz="4" w:space="0" w:color="000000"/>
            </w:tcBorders>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代码</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行业类别</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占基金资产净值比例（％）</w:t>
            </w:r>
          </w:p>
        </w:tc>
      </w:tr>
      <w:tr w:rsidR="00286323" w:rsidRPr="00286323" w:rsidTr="00155E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A</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农、林、牧、渔业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155EFC" w:rsidRPr="00286323" w:rsidRDefault="00750911" w:rsidP="00155EFC">
            <w:pPr>
              <w:autoSpaceDE w:val="0"/>
              <w:autoSpaceDN w:val="0"/>
              <w:adjustRightInd w:val="0"/>
              <w:spacing w:before="29" w:line="300" w:lineRule="auto"/>
              <w:ind w:left="15"/>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utoSpaceDE w:val="0"/>
              <w:autoSpaceDN w:val="0"/>
              <w:adjustRightInd w:val="0"/>
              <w:spacing w:before="29" w:line="300" w:lineRule="auto"/>
              <w:ind w:left="15"/>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r>
      <w:tr w:rsidR="00286323" w:rsidRPr="00286323" w:rsidTr="00155E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B</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采矿业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3,501,991.00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0.24</w:t>
            </w:r>
          </w:p>
        </w:tc>
      </w:tr>
      <w:tr w:rsidR="00286323" w:rsidRPr="00286323" w:rsidTr="00155E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C</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制造业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213,879,774.98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14.44</w:t>
            </w:r>
          </w:p>
        </w:tc>
      </w:tr>
      <w:tr w:rsidR="00286323" w:rsidRPr="00286323" w:rsidTr="00155E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D</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电力、热力、燃气及水生产和供应业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r>
      <w:tr w:rsidR="00286323" w:rsidRPr="00286323" w:rsidTr="00155E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E</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建筑业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r>
      <w:tr w:rsidR="00286323" w:rsidRPr="00286323" w:rsidTr="00155E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F</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批发和零售业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6,469,700.72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0.44</w:t>
            </w:r>
          </w:p>
        </w:tc>
      </w:tr>
      <w:tr w:rsidR="00286323" w:rsidRPr="00286323" w:rsidTr="00155E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G</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交通运输、仓储和邮政业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19,998.88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0.00</w:t>
            </w:r>
          </w:p>
        </w:tc>
      </w:tr>
      <w:tr w:rsidR="00286323" w:rsidRPr="00286323" w:rsidTr="00155E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H</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住宿和餐饮业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r>
      <w:tr w:rsidR="00286323" w:rsidRPr="00286323" w:rsidTr="00155E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I</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信息传输、软件和信息技术服务业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7,410,281.51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0.50</w:t>
            </w:r>
          </w:p>
        </w:tc>
      </w:tr>
      <w:tr w:rsidR="00286323" w:rsidRPr="00286323" w:rsidTr="00155E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J</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金融业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1,714,383.21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0.12</w:t>
            </w:r>
          </w:p>
        </w:tc>
      </w:tr>
      <w:tr w:rsidR="00286323" w:rsidRPr="00286323" w:rsidTr="00155E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K</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房地产业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8,975.14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0.00</w:t>
            </w:r>
          </w:p>
        </w:tc>
      </w:tr>
      <w:tr w:rsidR="00286323" w:rsidRPr="00286323" w:rsidTr="00155E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L</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租赁和商务服务业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563,400.00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0.04</w:t>
            </w:r>
          </w:p>
        </w:tc>
      </w:tr>
      <w:tr w:rsidR="00286323" w:rsidRPr="00286323" w:rsidTr="00155E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M</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科学研究和技术服务业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15,649.20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0.00</w:t>
            </w:r>
          </w:p>
        </w:tc>
      </w:tr>
      <w:tr w:rsidR="00286323" w:rsidRPr="00286323" w:rsidTr="00155E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N</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水利、环境和公共设施管理业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4,440,658.30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0.30</w:t>
            </w:r>
          </w:p>
        </w:tc>
      </w:tr>
      <w:tr w:rsidR="00286323" w:rsidRPr="00286323" w:rsidTr="00155E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lastRenderedPageBreak/>
              <w:t>O</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居民服务、修理和其他服务业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r>
      <w:tr w:rsidR="00286323" w:rsidRPr="00286323" w:rsidTr="00155E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P</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教育</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r>
      <w:tr w:rsidR="00286323" w:rsidRPr="00286323" w:rsidTr="00155E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Q</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卫生和社会工作</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11,926,818.92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0.81</w:t>
            </w:r>
          </w:p>
        </w:tc>
      </w:tr>
      <w:tr w:rsidR="00286323" w:rsidRPr="00286323" w:rsidTr="00155E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R</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文化、体育和娱乐业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48,261.27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0.00</w:t>
            </w:r>
          </w:p>
        </w:tc>
      </w:tr>
      <w:tr w:rsidR="00286323" w:rsidRPr="00286323" w:rsidTr="00155E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S</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综合</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r>
      <w:tr w:rsidR="00286323" w:rsidRPr="00286323" w:rsidTr="00155E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5EFC" w:rsidRPr="00286323" w:rsidRDefault="00155EFC" w:rsidP="00155EFC">
            <w:pPr>
              <w:adjustRightInd w:val="0"/>
              <w:snapToGrid w:val="0"/>
              <w:spacing w:line="300" w:lineRule="auto"/>
              <w:jc w:val="center"/>
              <w:rPr>
                <w:rFonts w:asciiTheme="minorEastAsia" w:eastAsiaTheme="minorEastAsia" w:hAnsiTheme="minorEastAsia"/>
                <w:color w:val="000000" w:themeColor="text1"/>
              </w:rPr>
            </w:pP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合计</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249,999,893.13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16.88</w:t>
            </w:r>
          </w:p>
        </w:tc>
      </w:tr>
    </w:tbl>
    <w:p w:rsidR="00155EFC" w:rsidRPr="00286323" w:rsidRDefault="00852C65" w:rsidP="00155EFC">
      <w:pPr>
        <w:autoSpaceDE w:val="0"/>
        <w:autoSpaceDN w:val="0"/>
        <w:adjustRightInd w:val="0"/>
        <w:spacing w:line="300" w:lineRule="auto"/>
        <w:jc w:val="left"/>
        <w:rPr>
          <w:rFonts w:asciiTheme="minorEastAsia" w:eastAsiaTheme="minorEastAsia" w:hAnsiTheme="minorEastAsia" w:cs="Times New Roman"/>
          <w:color w:val="000000" w:themeColor="text1"/>
        </w:rPr>
      </w:pPr>
      <w:r w:rsidRPr="00286323">
        <w:rPr>
          <w:rFonts w:asciiTheme="minorEastAsia" w:eastAsiaTheme="minorEastAsia" w:hAnsiTheme="minorEastAsia"/>
          <w:color w:val="000000" w:themeColor="text1"/>
        </w:rPr>
        <w:t>2</w:t>
      </w:r>
      <w:r w:rsidRPr="00286323">
        <w:rPr>
          <w:rFonts w:asciiTheme="minorEastAsia" w:eastAsiaTheme="minorEastAsia" w:hAnsiTheme="minorEastAsia" w:hint="eastAsia"/>
          <w:color w:val="000000" w:themeColor="text1"/>
        </w:rPr>
        <w:t>）</w:t>
      </w:r>
      <w:r w:rsidR="00750911" w:rsidRPr="00286323">
        <w:rPr>
          <w:rFonts w:asciiTheme="minorEastAsia" w:eastAsiaTheme="minorEastAsia" w:hAnsiTheme="minorEastAsia" w:hint="eastAsia"/>
          <w:color w:val="000000" w:themeColor="text1"/>
        </w:rPr>
        <w:t>指数投资按行业分类的股票投资组合</w:t>
      </w:r>
    </w:p>
    <w:tbl>
      <w:tblPr>
        <w:tblW w:w="800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8"/>
        <w:gridCol w:w="3380"/>
        <w:gridCol w:w="2611"/>
        <w:gridCol w:w="1511"/>
      </w:tblGrid>
      <w:tr w:rsidR="00286323" w:rsidRPr="00286323" w:rsidTr="00155EFC">
        <w:trPr>
          <w:trHeight w:val="390"/>
        </w:trPr>
        <w:tc>
          <w:tcPr>
            <w:tcW w:w="540" w:type="dxa"/>
            <w:tcBorders>
              <w:top w:val="single" w:sz="4" w:space="0" w:color="000000"/>
              <w:left w:val="single" w:sz="4" w:space="0" w:color="000000"/>
              <w:bottom w:val="single" w:sz="4" w:space="0" w:color="000000"/>
              <w:right w:val="single" w:sz="4" w:space="0" w:color="000000"/>
            </w:tcBorders>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代码</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行业类别</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占基金资产净值比例（％）</w:t>
            </w:r>
          </w:p>
        </w:tc>
      </w:tr>
      <w:tr w:rsidR="00286323" w:rsidRPr="00286323" w:rsidTr="00155E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A</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农、林、牧、渔业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155EFC" w:rsidRPr="00286323" w:rsidRDefault="00750911" w:rsidP="00155EFC">
            <w:pPr>
              <w:autoSpaceDE w:val="0"/>
              <w:autoSpaceDN w:val="0"/>
              <w:adjustRightInd w:val="0"/>
              <w:spacing w:before="29" w:line="300" w:lineRule="auto"/>
              <w:ind w:left="15"/>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5,118,823.20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utoSpaceDE w:val="0"/>
              <w:autoSpaceDN w:val="0"/>
              <w:adjustRightInd w:val="0"/>
              <w:spacing w:before="29" w:line="300" w:lineRule="auto"/>
              <w:ind w:left="15"/>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0.35</w:t>
            </w:r>
          </w:p>
        </w:tc>
      </w:tr>
      <w:tr w:rsidR="00286323" w:rsidRPr="00286323" w:rsidTr="00155E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B</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采矿业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44,952,948.34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3.03</w:t>
            </w:r>
          </w:p>
        </w:tc>
      </w:tr>
      <w:tr w:rsidR="00286323" w:rsidRPr="00286323" w:rsidTr="00155E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C</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制造业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463,102,059.65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31.26</w:t>
            </w:r>
          </w:p>
        </w:tc>
      </w:tr>
      <w:tr w:rsidR="00286323" w:rsidRPr="00286323" w:rsidTr="00155E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D</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电力、热力、燃气及水生产和供应业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31,079,436.00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2.10</w:t>
            </w:r>
          </w:p>
        </w:tc>
      </w:tr>
      <w:tr w:rsidR="00286323" w:rsidRPr="00286323" w:rsidTr="00155E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E</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建筑业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32,528,821.10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2.20</w:t>
            </w:r>
          </w:p>
        </w:tc>
      </w:tr>
      <w:tr w:rsidR="00286323" w:rsidRPr="00286323" w:rsidTr="00155E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F</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批发和零售业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10,392,968.00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0.70</w:t>
            </w:r>
          </w:p>
        </w:tc>
      </w:tr>
      <w:tr w:rsidR="00286323" w:rsidRPr="00286323" w:rsidTr="00155E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G</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交通运输、仓储和邮政业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40,127,782.08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2.71</w:t>
            </w:r>
          </w:p>
        </w:tc>
      </w:tr>
      <w:tr w:rsidR="00286323" w:rsidRPr="00286323" w:rsidTr="00155E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H</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住宿和餐饮业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r>
      <w:tr w:rsidR="00286323" w:rsidRPr="00286323" w:rsidTr="00155E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I</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信息传输、软件和信息技术服务业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23,465,686.18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1.58</w:t>
            </w:r>
          </w:p>
        </w:tc>
      </w:tr>
      <w:tr w:rsidR="00286323" w:rsidRPr="00286323" w:rsidTr="00155E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J</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金融业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358,917,487.01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24.23</w:t>
            </w:r>
          </w:p>
        </w:tc>
      </w:tr>
      <w:tr w:rsidR="00286323" w:rsidRPr="00286323" w:rsidTr="00155E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K</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房地产业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40,722,869.70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2.75</w:t>
            </w:r>
          </w:p>
        </w:tc>
      </w:tr>
      <w:tr w:rsidR="00286323" w:rsidRPr="00286323" w:rsidTr="00155E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L</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租赁和商务服务业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45,321,717.00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3.06</w:t>
            </w:r>
          </w:p>
        </w:tc>
      </w:tr>
      <w:tr w:rsidR="00286323" w:rsidRPr="00286323" w:rsidTr="00155E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M</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科学研究和技术服务业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9,873,576.16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0.67</w:t>
            </w:r>
          </w:p>
        </w:tc>
      </w:tr>
      <w:tr w:rsidR="00286323" w:rsidRPr="00286323" w:rsidTr="00155E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N</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水利、环境和公共设施管理业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r>
      <w:tr w:rsidR="00286323" w:rsidRPr="00286323" w:rsidTr="00155E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O</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居民服务、修理和其他服务业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r>
      <w:tr w:rsidR="00286323" w:rsidRPr="00286323" w:rsidTr="00155E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P</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教育</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15,299,115.00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1.03</w:t>
            </w:r>
          </w:p>
        </w:tc>
      </w:tr>
      <w:tr w:rsidR="00286323" w:rsidRPr="00286323" w:rsidTr="00155E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Q</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卫生和社会工作</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29,886,576.97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w:t>
            </w:r>
          </w:p>
        </w:tc>
      </w:tr>
      <w:tr w:rsidR="00286323" w:rsidRPr="00286323" w:rsidTr="00155E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R</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文化、体育和娱乐业</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r>
      <w:tr w:rsidR="00286323" w:rsidRPr="00286323" w:rsidTr="00155E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S</w:t>
            </w: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综合</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r>
      <w:tr w:rsidR="00286323" w:rsidRPr="00286323" w:rsidTr="00155EFC">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55EFC" w:rsidRPr="00286323" w:rsidRDefault="00155EFC" w:rsidP="00155EFC">
            <w:pPr>
              <w:adjustRightInd w:val="0"/>
              <w:snapToGrid w:val="0"/>
              <w:spacing w:line="300" w:lineRule="auto"/>
              <w:jc w:val="center"/>
              <w:rPr>
                <w:rFonts w:asciiTheme="minorEastAsia" w:eastAsiaTheme="minorEastAsia" w:hAnsiTheme="minorEastAsia"/>
                <w:color w:val="000000" w:themeColor="text1"/>
              </w:rPr>
            </w:pPr>
          </w:p>
        </w:tc>
        <w:tc>
          <w:tcPr>
            <w:tcW w:w="36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adjustRightInd w:val="0"/>
              <w:snapToGrid w:val="0"/>
              <w:spacing w:line="300" w:lineRule="auto"/>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合计</w:t>
            </w:r>
          </w:p>
        </w:tc>
        <w:tc>
          <w:tcPr>
            <w:tcW w:w="2852" w:type="dxa"/>
            <w:tcBorders>
              <w:top w:val="single" w:sz="4" w:space="0" w:color="000000"/>
              <w:left w:val="single" w:sz="4" w:space="0" w:color="000000"/>
              <w:bottom w:val="single" w:sz="4" w:space="0" w:color="000000"/>
              <w:right w:val="single" w:sz="4" w:space="0" w:color="000000"/>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1,150,789,866.39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77.68</w:t>
            </w:r>
          </w:p>
        </w:tc>
      </w:tr>
    </w:tbl>
    <w:p w:rsidR="00155EFC" w:rsidRPr="00286323" w:rsidRDefault="00750911" w:rsidP="00155EFC">
      <w:pPr>
        <w:autoSpaceDE w:val="0"/>
        <w:autoSpaceDN w:val="0"/>
        <w:adjustRightInd w:val="0"/>
        <w:spacing w:line="300" w:lineRule="auto"/>
        <w:jc w:val="left"/>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3、报告期末按公允价值占基金资产净值比例大小排序的股票投资明细</w:t>
      </w:r>
    </w:p>
    <w:p w:rsidR="00155EFC" w:rsidRPr="00286323" w:rsidRDefault="00750911" w:rsidP="00155EFC">
      <w:pPr>
        <w:spacing w:line="300" w:lineRule="auto"/>
        <w:jc w:val="left"/>
        <w:rPr>
          <w:rFonts w:asciiTheme="minorEastAsia" w:eastAsiaTheme="minorEastAsia" w:hAnsiTheme="minorEastAsia" w:cs="Times New Roman"/>
          <w:color w:val="000000" w:themeColor="text1"/>
        </w:rPr>
      </w:pPr>
      <w:r w:rsidRPr="00286323">
        <w:rPr>
          <w:rFonts w:asciiTheme="minorEastAsia" w:eastAsiaTheme="minorEastAsia" w:hAnsiTheme="minorEastAsia" w:cs="Arial" w:hint="eastAsia"/>
          <w:color w:val="000000" w:themeColor="text1"/>
        </w:rPr>
        <w:t>（1）期末指数投资按公允价值占基金资产净值比例大小排序的前十名股票投资明细</w:t>
      </w:r>
    </w:p>
    <w:tbl>
      <w:tblPr>
        <w:tblW w:w="8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8"/>
        <w:gridCol w:w="1152"/>
        <w:gridCol w:w="1400"/>
        <w:gridCol w:w="1650"/>
        <w:gridCol w:w="2024"/>
        <w:gridCol w:w="1026"/>
      </w:tblGrid>
      <w:tr w:rsidR="00286323" w:rsidRPr="00286323" w:rsidTr="00155EFC">
        <w:tc>
          <w:tcPr>
            <w:tcW w:w="817"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center"/>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序号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center"/>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股票代码</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center"/>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股票名称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center"/>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数量（股）</w:t>
            </w:r>
          </w:p>
        </w:tc>
        <w:tc>
          <w:tcPr>
            <w:tcW w:w="2268"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autoSpaceDE w:val="0"/>
              <w:autoSpaceDN w:val="0"/>
              <w:adjustRightInd w:val="0"/>
              <w:spacing w:before="29" w:line="300" w:lineRule="auto"/>
              <w:ind w:left="17"/>
              <w:jc w:val="center"/>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公允价值（元）</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center"/>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占基金</w:t>
            </w:r>
            <w:r w:rsidRPr="00286323">
              <w:rPr>
                <w:rFonts w:asciiTheme="minorEastAsia" w:eastAsiaTheme="minorEastAsia" w:hAnsiTheme="minorEastAsia" w:hint="eastAsia"/>
                <w:color w:val="000000" w:themeColor="text1"/>
              </w:rPr>
              <w:lastRenderedPageBreak/>
              <w:t>资产净值比例</w:t>
            </w:r>
            <w:r w:rsidRPr="00286323">
              <w:rPr>
                <w:rFonts w:asciiTheme="minorEastAsia" w:eastAsiaTheme="minorEastAsia" w:hAnsiTheme="minorEastAsia"/>
                <w:color w:val="000000" w:themeColor="text1"/>
              </w:rPr>
              <w:t>(</w:t>
            </w:r>
            <w:r w:rsidRPr="00286323">
              <w:rPr>
                <w:rFonts w:asciiTheme="minorEastAsia" w:eastAsiaTheme="minorEastAsia" w:hAnsiTheme="minorEastAsia" w:hint="eastAsia"/>
                <w:color w:val="000000" w:themeColor="text1"/>
              </w:rPr>
              <w:t>％</w:t>
            </w:r>
            <w:r w:rsidRPr="00286323">
              <w:rPr>
                <w:rFonts w:asciiTheme="minorEastAsia" w:eastAsiaTheme="minorEastAsia" w:hAnsiTheme="minorEastAsia"/>
                <w:color w:val="000000" w:themeColor="text1"/>
              </w:rPr>
              <w:t>)</w:t>
            </w:r>
          </w:p>
        </w:tc>
      </w:tr>
      <w:tr w:rsidR="00286323" w:rsidRPr="00286323" w:rsidTr="00155EFC">
        <w:tc>
          <w:tcPr>
            <w:tcW w:w="817"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lastRenderedPageBreak/>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600519</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贵州茅台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39,018</w:t>
            </w:r>
          </w:p>
        </w:tc>
        <w:tc>
          <w:tcPr>
            <w:tcW w:w="2268"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77,957,964.00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5.26</w:t>
            </w:r>
          </w:p>
        </w:tc>
      </w:tr>
      <w:tr w:rsidR="00286323" w:rsidRPr="00286323" w:rsidTr="00155EFC">
        <w:tc>
          <w:tcPr>
            <w:tcW w:w="817"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601318</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中国平安</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757,388</w:t>
            </w:r>
          </w:p>
        </w:tc>
        <w:tc>
          <w:tcPr>
            <w:tcW w:w="2268"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65,877,608.24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4.45</w:t>
            </w:r>
          </w:p>
        </w:tc>
      </w:tr>
      <w:tr w:rsidR="00286323" w:rsidRPr="00286323" w:rsidTr="00155EFC">
        <w:tc>
          <w:tcPr>
            <w:tcW w:w="817"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000858</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五粮液</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147,700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43,106,245.00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2.91</w:t>
            </w:r>
          </w:p>
        </w:tc>
      </w:tr>
      <w:tr w:rsidR="00286323" w:rsidRPr="00286323" w:rsidTr="00155EFC">
        <w:tc>
          <w:tcPr>
            <w:tcW w:w="817"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600887</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伊利股份</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911,298</w:t>
            </w:r>
          </w:p>
        </w:tc>
        <w:tc>
          <w:tcPr>
            <w:tcW w:w="2268"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40,434,292.26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2.73</w:t>
            </w:r>
          </w:p>
        </w:tc>
      </w:tr>
      <w:tr w:rsidR="00286323" w:rsidRPr="00286323" w:rsidTr="00155EFC">
        <w:tc>
          <w:tcPr>
            <w:tcW w:w="817"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600036</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招商银行</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859,647</w:t>
            </w:r>
          </w:p>
        </w:tc>
        <w:tc>
          <w:tcPr>
            <w:tcW w:w="2268"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37,781,485.65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2.55</w:t>
            </w:r>
          </w:p>
        </w:tc>
      </w:tr>
      <w:tr w:rsidR="00286323" w:rsidRPr="00286323" w:rsidTr="00155EFC">
        <w:tc>
          <w:tcPr>
            <w:tcW w:w="817"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000333</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美的集团</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343,212</w:t>
            </w:r>
          </w:p>
        </w:tc>
        <w:tc>
          <w:tcPr>
            <w:tcW w:w="2268"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33,785,789.28</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2.28</w:t>
            </w:r>
          </w:p>
        </w:tc>
      </w:tr>
      <w:tr w:rsidR="00286323" w:rsidRPr="00286323" w:rsidTr="00155EFC">
        <w:tc>
          <w:tcPr>
            <w:tcW w:w="817"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601166</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兴业银行</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1,501,800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31,342,566.00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2.12</w:t>
            </w:r>
          </w:p>
        </w:tc>
      </w:tr>
      <w:tr w:rsidR="00286323" w:rsidRPr="00286323" w:rsidTr="00155EFC">
        <w:tc>
          <w:tcPr>
            <w:tcW w:w="817"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600900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长江电力</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1,622,100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31,079,436.00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2.10</w:t>
            </w:r>
          </w:p>
        </w:tc>
      </w:tr>
      <w:tr w:rsidR="00286323" w:rsidRPr="00286323" w:rsidTr="00155EFC">
        <w:tc>
          <w:tcPr>
            <w:tcW w:w="817"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300015</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爱尔眼科</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399,073</w:t>
            </w:r>
          </w:p>
        </w:tc>
        <w:tc>
          <w:tcPr>
            <w:tcW w:w="2268"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29,886,576.97</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w:t>
            </w:r>
          </w:p>
        </w:tc>
      </w:tr>
      <w:tr w:rsidR="00286323" w:rsidRPr="00286323" w:rsidTr="00155EFC">
        <w:tc>
          <w:tcPr>
            <w:tcW w:w="817"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601919</w:t>
            </w:r>
          </w:p>
        </w:tc>
        <w:tc>
          <w:tcPr>
            <w:tcW w:w="1559"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中远海控</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2,411,700</w:t>
            </w:r>
          </w:p>
        </w:tc>
        <w:tc>
          <w:tcPr>
            <w:tcW w:w="2268"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29,446,857.00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1.99</w:t>
            </w:r>
          </w:p>
        </w:tc>
      </w:tr>
    </w:tbl>
    <w:p w:rsidR="00155EFC" w:rsidRPr="00286323" w:rsidRDefault="00750911" w:rsidP="00155EFC">
      <w:pPr>
        <w:spacing w:line="300" w:lineRule="auto"/>
        <w:jc w:val="left"/>
        <w:rPr>
          <w:rFonts w:asciiTheme="minorEastAsia" w:eastAsiaTheme="minorEastAsia" w:hAnsiTheme="minorEastAsia" w:cs="Times New Roman"/>
          <w:color w:val="000000" w:themeColor="text1"/>
        </w:rPr>
      </w:pPr>
      <w:r w:rsidRPr="00286323">
        <w:rPr>
          <w:rFonts w:asciiTheme="minorEastAsia" w:eastAsiaTheme="minorEastAsia" w:hAnsiTheme="minorEastAsia" w:cs="Arial" w:hint="eastAsia"/>
          <w:color w:val="000000" w:themeColor="text1"/>
        </w:rPr>
        <w:t>（2）期末积极投资按公允价值占基金资产净值比例大小排序的前五名股票投资明细</w:t>
      </w:r>
    </w:p>
    <w:tbl>
      <w:tblPr>
        <w:tblW w:w="8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8"/>
        <w:gridCol w:w="1152"/>
        <w:gridCol w:w="1525"/>
        <w:gridCol w:w="1650"/>
        <w:gridCol w:w="1899"/>
        <w:gridCol w:w="1026"/>
      </w:tblGrid>
      <w:tr w:rsidR="00286323" w:rsidRPr="00286323" w:rsidTr="00155EFC">
        <w:tc>
          <w:tcPr>
            <w:tcW w:w="817"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center"/>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序号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center"/>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股票代码</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center"/>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股票名称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center"/>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数量（股）</w:t>
            </w:r>
          </w:p>
        </w:tc>
        <w:tc>
          <w:tcPr>
            <w:tcW w:w="2126"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autoSpaceDE w:val="0"/>
              <w:autoSpaceDN w:val="0"/>
              <w:adjustRightInd w:val="0"/>
              <w:spacing w:before="29" w:line="300" w:lineRule="auto"/>
              <w:ind w:left="17"/>
              <w:jc w:val="center"/>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公允价值（元）</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before="29" w:line="300" w:lineRule="auto"/>
              <w:ind w:left="17"/>
              <w:jc w:val="center"/>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占基金资产净值比例</w:t>
            </w:r>
            <w:r w:rsidRPr="00286323">
              <w:rPr>
                <w:rFonts w:asciiTheme="minorEastAsia" w:eastAsiaTheme="minorEastAsia" w:hAnsiTheme="minorEastAsia"/>
                <w:color w:val="000000" w:themeColor="text1"/>
              </w:rPr>
              <w:t>(</w:t>
            </w:r>
            <w:r w:rsidRPr="00286323">
              <w:rPr>
                <w:rFonts w:asciiTheme="minorEastAsia" w:eastAsiaTheme="minorEastAsia" w:hAnsiTheme="minorEastAsia" w:hint="eastAsia"/>
                <w:color w:val="000000" w:themeColor="text1"/>
              </w:rPr>
              <w:t>％</w:t>
            </w:r>
            <w:r w:rsidRPr="00286323">
              <w:rPr>
                <w:rFonts w:asciiTheme="minorEastAsia" w:eastAsiaTheme="minorEastAsia" w:hAnsiTheme="minorEastAsia"/>
                <w:color w:val="000000" w:themeColor="text1"/>
              </w:rPr>
              <w:t>)</w:t>
            </w:r>
          </w:p>
        </w:tc>
      </w:tr>
      <w:tr w:rsidR="00286323" w:rsidRPr="00286323" w:rsidTr="00155EFC">
        <w:tc>
          <w:tcPr>
            <w:tcW w:w="817"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002568</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百润股份</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205,800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21,462,882.00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1.45</w:t>
            </w:r>
          </w:p>
        </w:tc>
      </w:tr>
      <w:tr w:rsidR="00286323" w:rsidRPr="00286323" w:rsidTr="00155EFC">
        <w:tc>
          <w:tcPr>
            <w:tcW w:w="817"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300558</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贝达药业</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195,671</w:t>
            </w:r>
          </w:p>
        </w:tc>
        <w:tc>
          <w:tcPr>
            <w:tcW w:w="2126"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21,009,195.27</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1.42</w:t>
            </w:r>
          </w:p>
        </w:tc>
      </w:tr>
      <w:tr w:rsidR="00286323" w:rsidRPr="00286323" w:rsidTr="00155EFC">
        <w:tc>
          <w:tcPr>
            <w:tcW w:w="817"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603486</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科沃斯</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219,892</w:t>
            </w:r>
          </w:p>
        </w:tc>
        <w:tc>
          <w:tcPr>
            <w:tcW w:w="2126"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19,458,243.08</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1.31</w:t>
            </w:r>
          </w:p>
        </w:tc>
      </w:tr>
      <w:tr w:rsidR="00286323" w:rsidRPr="00286323" w:rsidTr="00155EFC">
        <w:tc>
          <w:tcPr>
            <w:tcW w:w="817"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300394</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天孚通信</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272,411</w:t>
            </w:r>
          </w:p>
        </w:tc>
        <w:tc>
          <w:tcPr>
            <w:tcW w:w="2126"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14,527,678.63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0.98</w:t>
            </w:r>
          </w:p>
        </w:tc>
      </w:tr>
      <w:tr w:rsidR="00286323" w:rsidRPr="00286323" w:rsidTr="00155EFC">
        <w:tc>
          <w:tcPr>
            <w:tcW w:w="817"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300502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新易盛</w:t>
            </w:r>
          </w:p>
        </w:tc>
        <w:tc>
          <w:tcPr>
            <w:tcW w:w="1843"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236,200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13,104,376.00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0.88</w:t>
            </w:r>
          </w:p>
        </w:tc>
      </w:tr>
    </w:tbl>
    <w:p w:rsidR="00155EFC" w:rsidRPr="00286323" w:rsidRDefault="00750911" w:rsidP="00155EFC">
      <w:pPr>
        <w:autoSpaceDE w:val="0"/>
        <w:autoSpaceDN w:val="0"/>
        <w:adjustRightInd w:val="0"/>
        <w:spacing w:line="300" w:lineRule="auto"/>
        <w:jc w:val="left"/>
        <w:rPr>
          <w:rFonts w:asciiTheme="minorEastAsia" w:eastAsiaTheme="minorEastAsia" w:hAnsiTheme="minorEastAsia" w:cs="Times New Roman"/>
          <w:color w:val="000000" w:themeColor="text1"/>
        </w:rPr>
      </w:pPr>
      <w:r w:rsidRPr="00286323">
        <w:rPr>
          <w:rFonts w:asciiTheme="minorEastAsia" w:eastAsiaTheme="minorEastAsia" w:hAnsiTheme="minorEastAsia" w:cs="Arial" w:hint="eastAsia"/>
          <w:color w:val="000000" w:themeColor="text1"/>
        </w:rPr>
        <w:t>4、 报告期末按债券品种分类的债券投资组合</w:t>
      </w:r>
    </w:p>
    <w:p w:rsidR="00155EFC" w:rsidRPr="00286323" w:rsidRDefault="00750911" w:rsidP="00155EFC">
      <w:pPr>
        <w:spacing w:line="30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本基金本报告期末未持有债券。</w:t>
      </w:r>
    </w:p>
    <w:p w:rsidR="00155EFC" w:rsidRPr="00286323" w:rsidRDefault="00750911" w:rsidP="00155EFC">
      <w:pPr>
        <w:autoSpaceDE w:val="0"/>
        <w:autoSpaceDN w:val="0"/>
        <w:adjustRightInd w:val="0"/>
        <w:spacing w:line="300" w:lineRule="auto"/>
        <w:jc w:val="left"/>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5、 报告期末按公允价值占基金资产净值比例大小排序的前五名债券投资明细</w:t>
      </w:r>
    </w:p>
    <w:p w:rsidR="00155EFC" w:rsidRPr="00286323" w:rsidRDefault="00750911" w:rsidP="00155EFC">
      <w:pPr>
        <w:spacing w:line="300" w:lineRule="auto"/>
        <w:ind w:firstLineChars="200" w:firstLine="420"/>
        <w:rPr>
          <w:rFonts w:asciiTheme="minorEastAsia" w:eastAsiaTheme="minorEastAsia" w:hAnsiTheme="minorEastAsia" w:cs="Times New Roman"/>
          <w:color w:val="000000" w:themeColor="text1"/>
        </w:rPr>
      </w:pPr>
      <w:r w:rsidRPr="00286323">
        <w:rPr>
          <w:rFonts w:asciiTheme="minorEastAsia" w:eastAsiaTheme="minorEastAsia" w:hAnsiTheme="minorEastAsia" w:hint="eastAsia"/>
          <w:color w:val="000000" w:themeColor="text1"/>
        </w:rPr>
        <w:t>本基金本报告期末未持有债券。</w:t>
      </w:r>
    </w:p>
    <w:p w:rsidR="00155EFC" w:rsidRPr="00286323" w:rsidRDefault="00750911" w:rsidP="00155EFC">
      <w:pPr>
        <w:autoSpaceDE w:val="0"/>
        <w:autoSpaceDN w:val="0"/>
        <w:adjustRightInd w:val="0"/>
        <w:spacing w:line="300" w:lineRule="auto"/>
        <w:jc w:val="left"/>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6、报告期末按公允价值占基金资产净值比例大小排序的前十名资产支持证券投资明细</w:t>
      </w:r>
    </w:p>
    <w:p w:rsidR="00155EFC" w:rsidRPr="00286323" w:rsidRDefault="00750911" w:rsidP="00155EFC">
      <w:pPr>
        <w:spacing w:line="300" w:lineRule="auto"/>
        <w:ind w:firstLineChars="200" w:firstLine="420"/>
        <w:rPr>
          <w:rFonts w:asciiTheme="minorEastAsia" w:eastAsiaTheme="minorEastAsia" w:hAnsiTheme="minorEastAsia" w:cs="Times New Roman"/>
          <w:color w:val="000000" w:themeColor="text1"/>
        </w:rPr>
      </w:pPr>
      <w:r w:rsidRPr="00286323">
        <w:rPr>
          <w:rFonts w:asciiTheme="minorEastAsia" w:eastAsiaTheme="minorEastAsia" w:hAnsiTheme="minorEastAsia" w:hint="eastAsia"/>
          <w:color w:val="000000" w:themeColor="text1"/>
        </w:rPr>
        <w:t>本基金本报告期末未持有资产支持证券。</w:t>
      </w:r>
    </w:p>
    <w:p w:rsidR="00155EFC" w:rsidRPr="00286323" w:rsidRDefault="00750911" w:rsidP="00155EFC">
      <w:pPr>
        <w:autoSpaceDE w:val="0"/>
        <w:autoSpaceDN w:val="0"/>
        <w:adjustRightInd w:val="0"/>
        <w:spacing w:line="300" w:lineRule="auto"/>
        <w:jc w:val="left"/>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7、报告期末按公允价值占基金资产净值比例大小排序的前五名贵金属投资明细</w:t>
      </w:r>
    </w:p>
    <w:p w:rsidR="00155EFC" w:rsidRPr="00286323" w:rsidRDefault="00750911" w:rsidP="00155EFC">
      <w:pPr>
        <w:spacing w:line="30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本基金本报告期末未持有贵金属。</w:t>
      </w:r>
    </w:p>
    <w:p w:rsidR="00155EFC" w:rsidRPr="00286323" w:rsidRDefault="00750911" w:rsidP="00155EFC">
      <w:pPr>
        <w:autoSpaceDE w:val="0"/>
        <w:autoSpaceDN w:val="0"/>
        <w:adjustRightInd w:val="0"/>
        <w:spacing w:line="300" w:lineRule="auto"/>
        <w:jc w:val="left"/>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8、报告期末按公允价值占基金资产净值比例大小排序的前五名权证投资明细</w:t>
      </w:r>
    </w:p>
    <w:p w:rsidR="00155EFC" w:rsidRPr="00286323" w:rsidRDefault="00750911" w:rsidP="00155EFC">
      <w:pPr>
        <w:spacing w:line="300" w:lineRule="auto"/>
        <w:ind w:firstLineChars="200" w:firstLine="420"/>
        <w:rPr>
          <w:rFonts w:asciiTheme="minorEastAsia" w:eastAsiaTheme="minorEastAsia" w:hAnsiTheme="minorEastAsia" w:cs="Times New Roman"/>
          <w:color w:val="000000" w:themeColor="text1"/>
        </w:rPr>
      </w:pPr>
      <w:r w:rsidRPr="00286323">
        <w:rPr>
          <w:rFonts w:asciiTheme="minorEastAsia" w:eastAsiaTheme="minorEastAsia" w:hAnsiTheme="minorEastAsia" w:hint="eastAsia"/>
          <w:color w:val="000000" w:themeColor="text1"/>
        </w:rPr>
        <w:t>本基金本报告期末未持有权证。</w:t>
      </w:r>
    </w:p>
    <w:p w:rsidR="00155EFC" w:rsidRPr="00286323" w:rsidRDefault="00750911" w:rsidP="00155EFC">
      <w:pPr>
        <w:adjustRightInd w:val="0"/>
        <w:snapToGrid w:val="0"/>
        <w:spacing w:line="300" w:lineRule="auto"/>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9、 报告期末本基金投资的股指期货交易情况说明</w:t>
      </w:r>
    </w:p>
    <w:p w:rsidR="00155EFC" w:rsidRPr="00286323" w:rsidRDefault="00750911" w:rsidP="00155EFC">
      <w:pPr>
        <w:autoSpaceDE w:val="0"/>
        <w:autoSpaceDN w:val="0"/>
        <w:adjustRightInd w:val="0"/>
        <w:spacing w:line="300" w:lineRule="auto"/>
        <w:jc w:val="left"/>
        <w:rPr>
          <w:rFonts w:asciiTheme="minorEastAsia" w:eastAsiaTheme="minorEastAsia" w:hAnsiTheme="minorEastAsia"/>
          <w:bCs/>
          <w:color w:val="000000" w:themeColor="text1"/>
        </w:rPr>
      </w:pPr>
      <w:r w:rsidRPr="00286323">
        <w:rPr>
          <w:rFonts w:asciiTheme="minorEastAsia" w:eastAsiaTheme="minorEastAsia" w:hAnsiTheme="minorEastAsia" w:hint="eastAsia"/>
          <w:color w:val="000000" w:themeColor="text1"/>
        </w:rPr>
        <w:lastRenderedPageBreak/>
        <w:t>（1） 报告期末本基金投资的股指期货持仓和损益明细</w:t>
      </w:r>
    </w:p>
    <w:tbl>
      <w:tblPr>
        <w:tblW w:w="8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182"/>
        <w:gridCol w:w="907"/>
        <w:gridCol w:w="1533"/>
        <w:gridCol w:w="1481"/>
        <w:gridCol w:w="1865"/>
      </w:tblGrid>
      <w:tr w:rsidR="00286323" w:rsidRPr="00286323" w:rsidTr="00155EFC">
        <w:trPr>
          <w:trHeight w:val="105"/>
          <w:jc w:val="center"/>
        </w:trPr>
        <w:tc>
          <w:tcPr>
            <w:tcW w:w="1134" w:type="dxa"/>
            <w:tcBorders>
              <w:top w:val="single" w:sz="4" w:space="0" w:color="auto"/>
              <w:left w:val="single" w:sz="4" w:space="0" w:color="auto"/>
              <w:bottom w:val="single" w:sz="4" w:space="0" w:color="auto"/>
              <w:right w:val="single" w:sz="4" w:space="0" w:color="auto"/>
            </w:tcBorders>
            <w:hideMark/>
          </w:tcPr>
          <w:p w:rsidR="00155EFC" w:rsidRPr="00286323" w:rsidRDefault="00750911" w:rsidP="00155EFC">
            <w:pPr>
              <w:pStyle w:val="Default"/>
              <w:spacing w:line="300" w:lineRule="auto"/>
              <w:rPr>
                <w:rFonts w:asciiTheme="minorEastAsia" w:eastAsiaTheme="minorEastAsia" w:hAnsiTheme="minorEastAsia" w:cs="Times New Roman"/>
                <w:color w:val="000000" w:themeColor="text1"/>
                <w:sz w:val="21"/>
              </w:rPr>
            </w:pPr>
            <w:r w:rsidRPr="00286323">
              <w:rPr>
                <w:rFonts w:asciiTheme="minorEastAsia" w:eastAsiaTheme="minorEastAsia" w:hAnsiTheme="minorEastAsia" w:cs="Times New Roman" w:hint="eastAsia"/>
                <w:color w:val="000000" w:themeColor="text1"/>
                <w:sz w:val="21"/>
              </w:rPr>
              <w:t>代码</w:t>
            </w:r>
          </w:p>
        </w:tc>
        <w:tc>
          <w:tcPr>
            <w:tcW w:w="1303" w:type="dxa"/>
            <w:tcBorders>
              <w:top w:val="single" w:sz="4" w:space="0" w:color="auto"/>
              <w:left w:val="single" w:sz="4" w:space="0" w:color="auto"/>
              <w:bottom w:val="single" w:sz="4" w:space="0" w:color="auto"/>
              <w:right w:val="single" w:sz="4" w:space="0" w:color="auto"/>
            </w:tcBorders>
            <w:hideMark/>
          </w:tcPr>
          <w:p w:rsidR="00155EFC" w:rsidRPr="00286323" w:rsidRDefault="00750911" w:rsidP="00155EFC">
            <w:pPr>
              <w:pStyle w:val="Default"/>
              <w:spacing w:line="300" w:lineRule="auto"/>
              <w:rPr>
                <w:rFonts w:asciiTheme="minorEastAsia" w:eastAsiaTheme="minorEastAsia" w:hAnsiTheme="minorEastAsia" w:cs="Times New Roman"/>
                <w:color w:val="000000" w:themeColor="text1"/>
                <w:sz w:val="21"/>
              </w:rPr>
            </w:pPr>
            <w:r w:rsidRPr="00286323">
              <w:rPr>
                <w:rFonts w:asciiTheme="minorEastAsia" w:eastAsiaTheme="minorEastAsia" w:hAnsiTheme="minorEastAsia" w:cs="Times New Roman" w:hint="eastAsia"/>
                <w:color w:val="000000" w:themeColor="text1"/>
                <w:sz w:val="21"/>
              </w:rPr>
              <w:t>名称</w:t>
            </w:r>
          </w:p>
        </w:tc>
        <w:tc>
          <w:tcPr>
            <w:tcW w:w="993" w:type="dxa"/>
            <w:tcBorders>
              <w:top w:val="single" w:sz="4" w:space="0" w:color="auto"/>
              <w:left w:val="single" w:sz="4" w:space="0" w:color="auto"/>
              <w:bottom w:val="single" w:sz="4" w:space="0" w:color="auto"/>
              <w:right w:val="single" w:sz="4" w:space="0" w:color="auto"/>
            </w:tcBorders>
            <w:hideMark/>
          </w:tcPr>
          <w:p w:rsidR="00155EFC" w:rsidRPr="00286323" w:rsidRDefault="00750911" w:rsidP="00155EFC">
            <w:pPr>
              <w:pStyle w:val="Default"/>
              <w:spacing w:line="300" w:lineRule="auto"/>
              <w:rPr>
                <w:rFonts w:asciiTheme="minorEastAsia" w:eastAsiaTheme="minorEastAsia" w:hAnsiTheme="minorEastAsia" w:cs="Times New Roman"/>
                <w:color w:val="000000" w:themeColor="text1"/>
                <w:sz w:val="21"/>
              </w:rPr>
            </w:pPr>
            <w:r w:rsidRPr="00286323">
              <w:rPr>
                <w:rFonts w:asciiTheme="minorEastAsia" w:eastAsiaTheme="minorEastAsia" w:hAnsiTheme="minorEastAsia" w:cs="Times New Roman" w:hint="eastAsia"/>
                <w:color w:val="000000" w:themeColor="text1"/>
                <w:sz w:val="21"/>
              </w:rPr>
              <w:t>持仓量</w:t>
            </w:r>
          </w:p>
        </w:tc>
        <w:tc>
          <w:tcPr>
            <w:tcW w:w="1700" w:type="dxa"/>
            <w:tcBorders>
              <w:top w:val="single" w:sz="4" w:space="0" w:color="auto"/>
              <w:left w:val="single" w:sz="4" w:space="0" w:color="auto"/>
              <w:bottom w:val="single" w:sz="4" w:space="0" w:color="auto"/>
              <w:right w:val="single" w:sz="4" w:space="0" w:color="auto"/>
            </w:tcBorders>
            <w:hideMark/>
          </w:tcPr>
          <w:p w:rsidR="00155EFC" w:rsidRPr="00286323" w:rsidRDefault="00750911" w:rsidP="00155EFC">
            <w:pPr>
              <w:pStyle w:val="Default"/>
              <w:spacing w:line="300" w:lineRule="auto"/>
              <w:rPr>
                <w:rFonts w:asciiTheme="minorEastAsia" w:eastAsiaTheme="minorEastAsia" w:hAnsiTheme="minorEastAsia" w:cs="Times New Roman"/>
                <w:color w:val="000000" w:themeColor="text1"/>
                <w:sz w:val="21"/>
              </w:rPr>
            </w:pPr>
            <w:r w:rsidRPr="00286323">
              <w:rPr>
                <w:rFonts w:asciiTheme="minorEastAsia" w:eastAsiaTheme="minorEastAsia" w:hAnsiTheme="minorEastAsia" w:cs="Times New Roman" w:hint="eastAsia"/>
                <w:color w:val="000000" w:themeColor="text1"/>
                <w:sz w:val="21"/>
              </w:rPr>
              <w:t>合约市值（元）</w:t>
            </w:r>
          </w:p>
        </w:tc>
        <w:tc>
          <w:tcPr>
            <w:tcW w:w="1641" w:type="dxa"/>
            <w:tcBorders>
              <w:top w:val="single" w:sz="4" w:space="0" w:color="auto"/>
              <w:left w:val="single" w:sz="4" w:space="0" w:color="auto"/>
              <w:bottom w:val="single" w:sz="4" w:space="0" w:color="auto"/>
              <w:right w:val="single" w:sz="4" w:space="0" w:color="auto"/>
            </w:tcBorders>
            <w:hideMark/>
          </w:tcPr>
          <w:p w:rsidR="00155EFC" w:rsidRPr="00286323" w:rsidRDefault="00750911" w:rsidP="00155EFC">
            <w:pPr>
              <w:pStyle w:val="Default"/>
              <w:spacing w:line="300" w:lineRule="auto"/>
              <w:rPr>
                <w:rFonts w:asciiTheme="minorEastAsia" w:eastAsiaTheme="minorEastAsia" w:hAnsiTheme="minorEastAsia" w:cs="Times New Roman"/>
                <w:color w:val="000000" w:themeColor="text1"/>
                <w:sz w:val="21"/>
              </w:rPr>
            </w:pPr>
            <w:r w:rsidRPr="00286323">
              <w:rPr>
                <w:rFonts w:asciiTheme="minorEastAsia" w:eastAsiaTheme="minorEastAsia" w:hAnsiTheme="minorEastAsia" w:cs="Times New Roman" w:hint="eastAsia"/>
                <w:color w:val="000000" w:themeColor="text1"/>
                <w:sz w:val="21"/>
              </w:rPr>
              <w:t>公允价值变动（元）</w:t>
            </w:r>
          </w:p>
        </w:tc>
        <w:tc>
          <w:tcPr>
            <w:tcW w:w="2074" w:type="dxa"/>
            <w:tcBorders>
              <w:top w:val="single" w:sz="4" w:space="0" w:color="auto"/>
              <w:left w:val="single" w:sz="4" w:space="0" w:color="auto"/>
              <w:bottom w:val="single" w:sz="4" w:space="0" w:color="auto"/>
              <w:right w:val="single" w:sz="4" w:space="0" w:color="auto"/>
            </w:tcBorders>
            <w:hideMark/>
          </w:tcPr>
          <w:p w:rsidR="00155EFC" w:rsidRPr="00286323" w:rsidRDefault="00750911" w:rsidP="00155EFC">
            <w:pPr>
              <w:pStyle w:val="Default"/>
              <w:spacing w:line="300" w:lineRule="auto"/>
              <w:jc w:val="center"/>
              <w:rPr>
                <w:rFonts w:asciiTheme="minorEastAsia" w:eastAsiaTheme="minorEastAsia" w:hAnsiTheme="minorEastAsia" w:cs="Times New Roman"/>
                <w:color w:val="000000" w:themeColor="text1"/>
                <w:sz w:val="21"/>
              </w:rPr>
            </w:pPr>
            <w:r w:rsidRPr="00286323">
              <w:rPr>
                <w:rFonts w:asciiTheme="minorEastAsia" w:eastAsiaTheme="minorEastAsia" w:hAnsiTheme="minorEastAsia" w:cs="Times New Roman" w:hint="eastAsia"/>
                <w:color w:val="000000" w:themeColor="text1"/>
                <w:sz w:val="21"/>
              </w:rPr>
              <w:t>风险说明</w:t>
            </w:r>
          </w:p>
        </w:tc>
      </w:tr>
      <w:tr w:rsidR="00286323" w:rsidRPr="00286323" w:rsidTr="00155EFC">
        <w:trPr>
          <w:jc w:val="center"/>
        </w:trPr>
        <w:tc>
          <w:tcPr>
            <w:tcW w:w="1133"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s="Times New Roman"/>
                <w:color w:val="000000" w:themeColor="text1"/>
              </w:rPr>
            </w:pPr>
            <w:r w:rsidRPr="00286323">
              <w:rPr>
                <w:rFonts w:asciiTheme="minorEastAsia" w:eastAsiaTheme="minorEastAsia" w:hAnsiTheme="minorEastAsia"/>
                <w:color w:val="000000" w:themeColor="text1"/>
              </w:rPr>
              <w:t>-</w:t>
            </w:r>
          </w:p>
        </w:tc>
        <w:tc>
          <w:tcPr>
            <w:tcW w:w="1302"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c>
          <w:tcPr>
            <w:tcW w:w="1700"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c>
          <w:tcPr>
            <w:tcW w:w="1641"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c>
          <w:tcPr>
            <w:tcW w:w="2074"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spacing w:line="300" w:lineRule="auto"/>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r>
      <w:tr w:rsidR="00286323" w:rsidRPr="00286323" w:rsidTr="00155EFC">
        <w:trPr>
          <w:trHeight w:val="105"/>
          <w:jc w:val="center"/>
        </w:trPr>
        <w:tc>
          <w:tcPr>
            <w:tcW w:w="6771" w:type="dxa"/>
            <w:gridSpan w:val="5"/>
            <w:tcBorders>
              <w:top w:val="single" w:sz="4" w:space="0" w:color="auto"/>
              <w:left w:val="single" w:sz="4" w:space="0" w:color="auto"/>
              <w:bottom w:val="single" w:sz="4" w:space="0" w:color="auto"/>
              <w:right w:val="single" w:sz="4" w:space="0" w:color="auto"/>
            </w:tcBorders>
            <w:hideMark/>
          </w:tcPr>
          <w:p w:rsidR="00155EFC" w:rsidRPr="00286323" w:rsidRDefault="00750911" w:rsidP="00155EFC">
            <w:pPr>
              <w:pStyle w:val="Default"/>
              <w:spacing w:line="300" w:lineRule="auto"/>
              <w:rPr>
                <w:rFonts w:asciiTheme="minorEastAsia" w:eastAsiaTheme="minorEastAsia" w:hAnsiTheme="minorEastAsia" w:cs="Times New Roman"/>
                <w:color w:val="000000" w:themeColor="text1"/>
                <w:sz w:val="21"/>
              </w:rPr>
            </w:pPr>
            <w:r w:rsidRPr="00286323">
              <w:rPr>
                <w:rFonts w:asciiTheme="minorEastAsia" w:eastAsiaTheme="minorEastAsia" w:hAnsiTheme="minorEastAsia" w:cs="Times New Roman" w:hint="eastAsia"/>
                <w:color w:val="000000" w:themeColor="text1"/>
                <w:sz w:val="21"/>
              </w:rPr>
              <w:t>公允价值变动总额合计</w:t>
            </w:r>
            <w:r w:rsidRPr="00286323">
              <w:rPr>
                <w:rFonts w:asciiTheme="minorEastAsia" w:eastAsiaTheme="minorEastAsia" w:hAnsiTheme="minorEastAsia" w:cs="Times New Roman"/>
                <w:color w:val="000000" w:themeColor="text1"/>
                <w:sz w:val="21"/>
              </w:rPr>
              <w:t>(</w:t>
            </w:r>
            <w:r w:rsidRPr="00286323">
              <w:rPr>
                <w:rFonts w:asciiTheme="minorEastAsia" w:eastAsiaTheme="minorEastAsia" w:hAnsiTheme="minorEastAsia" w:cs="Times New Roman" w:hint="eastAsia"/>
                <w:color w:val="000000" w:themeColor="text1"/>
                <w:sz w:val="21"/>
              </w:rPr>
              <w:t>元</w:t>
            </w:r>
            <w:r w:rsidRPr="00286323">
              <w:rPr>
                <w:rFonts w:asciiTheme="minorEastAsia" w:eastAsiaTheme="minorEastAsia" w:hAnsiTheme="minorEastAsia" w:cs="Times New Roman"/>
                <w:color w:val="000000" w:themeColor="text1"/>
                <w:sz w:val="21"/>
              </w:rPr>
              <w:t>)</w:t>
            </w:r>
          </w:p>
        </w:tc>
        <w:tc>
          <w:tcPr>
            <w:tcW w:w="2074" w:type="dxa"/>
            <w:tcBorders>
              <w:top w:val="single" w:sz="4" w:space="0" w:color="auto"/>
              <w:left w:val="single" w:sz="4" w:space="0" w:color="auto"/>
              <w:bottom w:val="single" w:sz="4" w:space="0" w:color="auto"/>
              <w:right w:val="single" w:sz="4" w:space="0" w:color="auto"/>
            </w:tcBorders>
            <w:hideMark/>
          </w:tcPr>
          <w:p w:rsidR="00155EFC" w:rsidRPr="00286323" w:rsidRDefault="00750911" w:rsidP="00155EFC">
            <w:pPr>
              <w:pStyle w:val="Default"/>
              <w:spacing w:line="300" w:lineRule="auto"/>
              <w:jc w:val="right"/>
              <w:rPr>
                <w:rFonts w:asciiTheme="minorEastAsia" w:eastAsiaTheme="minorEastAsia" w:hAnsiTheme="minorEastAsia" w:cs="Times New Roman"/>
                <w:color w:val="000000" w:themeColor="text1"/>
                <w:sz w:val="21"/>
              </w:rPr>
            </w:pPr>
            <w:r w:rsidRPr="00286323">
              <w:rPr>
                <w:rFonts w:asciiTheme="minorEastAsia" w:eastAsiaTheme="minorEastAsia" w:hAnsiTheme="minorEastAsia" w:cs="Times New Roman"/>
                <w:color w:val="000000" w:themeColor="text1"/>
                <w:sz w:val="21"/>
              </w:rPr>
              <w:t>-</w:t>
            </w:r>
          </w:p>
        </w:tc>
      </w:tr>
      <w:tr w:rsidR="00286323" w:rsidRPr="00286323" w:rsidTr="00155EFC">
        <w:trPr>
          <w:trHeight w:val="105"/>
          <w:jc w:val="center"/>
        </w:trPr>
        <w:tc>
          <w:tcPr>
            <w:tcW w:w="6771" w:type="dxa"/>
            <w:gridSpan w:val="5"/>
            <w:tcBorders>
              <w:top w:val="single" w:sz="4" w:space="0" w:color="auto"/>
              <w:left w:val="single" w:sz="4" w:space="0" w:color="auto"/>
              <w:bottom w:val="single" w:sz="4" w:space="0" w:color="auto"/>
              <w:right w:val="single" w:sz="4" w:space="0" w:color="auto"/>
            </w:tcBorders>
            <w:hideMark/>
          </w:tcPr>
          <w:p w:rsidR="00155EFC" w:rsidRPr="00286323" w:rsidRDefault="00750911" w:rsidP="00155EFC">
            <w:pPr>
              <w:pStyle w:val="Default"/>
              <w:spacing w:line="300" w:lineRule="auto"/>
              <w:rPr>
                <w:rFonts w:asciiTheme="minorEastAsia" w:eastAsiaTheme="minorEastAsia" w:hAnsiTheme="minorEastAsia" w:cs="Times New Roman"/>
                <w:color w:val="000000" w:themeColor="text1"/>
                <w:sz w:val="21"/>
              </w:rPr>
            </w:pPr>
            <w:r w:rsidRPr="00286323">
              <w:rPr>
                <w:rFonts w:asciiTheme="minorEastAsia" w:eastAsiaTheme="minorEastAsia" w:hAnsiTheme="minorEastAsia" w:cs="Times New Roman" w:hint="eastAsia"/>
                <w:color w:val="000000" w:themeColor="text1"/>
                <w:sz w:val="21"/>
              </w:rPr>
              <w:t>股指期货投资本期收益</w:t>
            </w:r>
            <w:r w:rsidRPr="00286323">
              <w:rPr>
                <w:rFonts w:asciiTheme="minorEastAsia" w:eastAsiaTheme="minorEastAsia" w:hAnsiTheme="minorEastAsia" w:cs="Times New Roman"/>
                <w:color w:val="000000" w:themeColor="text1"/>
                <w:sz w:val="21"/>
              </w:rPr>
              <w:t>(</w:t>
            </w:r>
            <w:r w:rsidRPr="00286323">
              <w:rPr>
                <w:rFonts w:asciiTheme="minorEastAsia" w:eastAsiaTheme="minorEastAsia" w:hAnsiTheme="minorEastAsia" w:cs="Times New Roman" w:hint="eastAsia"/>
                <w:color w:val="000000" w:themeColor="text1"/>
                <w:sz w:val="21"/>
              </w:rPr>
              <w:t>元</w:t>
            </w:r>
            <w:r w:rsidRPr="00286323">
              <w:rPr>
                <w:rFonts w:asciiTheme="minorEastAsia" w:eastAsiaTheme="minorEastAsia" w:hAnsiTheme="minorEastAsia" w:cs="Times New Roman"/>
                <w:color w:val="000000" w:themeColor="text1"/>
                <w:sz w:val="21"/>
              </w:rPr>
              <w:t>)</w:t>
            </w:r>
          </w:p>
        </w:tc>
        <w:tc>
          <w:tcPr>
            <w:tcW w:w="2074" w:type="dxa"/>
            <w:tcBorders>
              <w:top w:val="single" w:sz="4" w:space="0" w:color="auto"/>
              <w:left w:val="single" w:sz="4" w:space="0" w:color="auto"/>
              <w:bottom w:val="single" w:sz="4" w:space="0" w:color="auto"/>
              <w:right w:val="single" w:sz="4" w:space="0" w:color="auto"/>
            </w:tcBorders>
            <w:hideMark/>
          </w:tcPr>
          <w:p w:rsidR="00155EFC" w:rsidRPr="00286323" w:rsidRDefault="00750911" w:rsidP="00155EFC">
            <w:pPr>
              <w:pStyle w:val="Default"/>
              <w:spacing w:line="300" w:lineRule="auto"/>
              <w:jc w:val="right"/>
              <w:rPr>
                <w:rFonts w:asciiTheme="minorEastAsia" w:eastAsiaTheme="minorEastAsia" w:hAnsiTheme="minorEastAsia" w:cs="Times New Roman"/>
                <w:color w:val="000000" w:themeColor="text1"/>
                <w:sz w:val="21"/>
              </w:rPr>
            </w:pPr>
            <w:r w:rsidRPr="00286323">
              <w:rPr>
                <w:rFonts w:asciiTheme="minorEastAsia" w:eastAsiaTheme="minorEastAsia" w:hAnsiTheme="minorEastAsia" w:cs="Times New Roman"/>
                <w:color w:val="000000" w:themeColor="text1"/>
                <w:sz w:val="21"/>
              </w:rPr>
              <w:t>2,181,955.34</w:t>
            </w:r>
          </w:p>
        </w:tc>
      </w:tr>
      <w:tr w:rsidR="00286323" w:rsidRPr="00286323" w:rsidTr="00155EFC">
        <w:trPr>
          <w:trHeight w:val="105"/>
          <w:jc w:val="center"/>
        </w:trPr>
        <w:tc>
          <w:tcPr>
            <w:tcW w:w="6771" w:type="dxa"/>
            <w:gridSpan w:val="5"/>
            <w:tcBorders>
              <w:top w:val="single" w:sz="4" w:space="0" w:color="auto"/>
              <w:left w:val="single" w:sz="4" w:space="0" w:color="auto"/>
              <w:bottom w:val="single" w:sz="4" w:space="0" w:color="auto"/>
              <w:right w:val="single" w:sz="4" w:space="0" w:color="auto"/>
            </w:tcBorders>
            <w:hideMark/>
          </w:tcPr>
          <w:p w:rsidR="00155EFC" w:rsidRPr="00286323" w:rsidRDefault="00750911" w:rsidP="00155EFC">
            <w:pPr>
              <w:pStyle w:val="Default"/>
              <w:spacing w:line="300" w:lineRule="auto"/>
              <w:rPr>
                <w:rFonts w:asciiTheme="minorEastAsia" w:eastAsiaTheme="minorEastAsia" w:hAnsiTheme="minorEastAsia" w:cs="Times New Roman"/>
                <w:color w:val="000000" w:themeColor="text1"/>
                <w:sz w:val="21"/>
              </w:rPr>
            </w:pPr>
            <w:r w:rsidRPr="00286323">
              <w:rPr>
                <w:rFonts w:asciiTheme="minorEastAsia" w:eastAsiaTheme="minorEastAsia" w:hAnsiTheme="minorEastAsia" w:cs="Times New Roman" w:hint="eastAsia"/>
                <w:color w:val="000000" w:themeColor="text1"/>
                <w:sz w:val="21"/>
              </w:rPr>
              <w:t>股指期货投资本期公允价值变动</w:t>
            </w:r>
            <w:r w:rsidRPr="00286323">
              <w:rPr>
                <w:rFonts w:asciiTheme="minorEastAsia" w:eastAsiaTheme="minorEastAsia" w:hAnsiTheme="minorEastAsia" w:cs="Times New Roman"/>
                <w:color w:val="000000" w:themeColor="text1"/>
                <w:sz w:val="21"/>
              </w:rPr>
              <w:t>(</w:t>
            </w:r>
            <w:r w:rsidRPr="00286323">
              <w:rPr>
                <w:rFonts w:asciiTheme="minorEastAsia" w:eastAsiaTheme="minorEastAsia" w:hAnsiTheme="minorEastAsia" w:cs="Times New Roman" w:hint="eastAsia"/>
                <w:color w:val="000000" w:themeColor="text1"/>
                <w:sz w:val="21"/>
              </w:rPr>
              <w:t>元</w:t>
            </w:r>
            <w:r w:rsidRPr="00286323">
              <w:rPr>
                <w:rFonts w:asciiTheme="minorEastAsia" w:eastAsiaTheme="minorEastAsia" w:hAnsiTheme="minorEastAsia" w:cs="Times New Roman"/>
                <w:color w:val="000000" w:themeColor="text1"/>
                <w:sz w:val="21"/>
              </w:rPr>
              <w:t>)</w:t>
            </w:r>
          </w:p>
        </w:tc>
        <w:tc>
          <w:tcPr>
            <w:tcW w:w="2074" w:type="dxa"/>
            <w:tcBorders>
              <w:top w:val="single" w:sz="4" w:space="0" w:color="auto"/>
              <w:left w:val="single" w:sz="4" w:space="0" w:color="auto"/>
              <w:bottom w:val="single" w:sz="4" w:space="0" w:color="auto"/>
              <w:right w:val="single" w:sz="4" w:space="0" w:color="auto"/>
            </w:tcBorders>
            <w:hideMark/>
          </w:tcPr>
          <w:p w:rsidR="00155EFC" w:rsidRPr="00286323" w:rsidRDefault="00750911" w:rsidP="00155EFC">
            <w:pPr>
              <w:pStyle w:val="Default"/>
              <w:spacing w:line="300" w:lineRule="auto"/>
              <w:jc w:val="right"/>
              <w:rPr>
                <w:rFonts w:asciiTheme="minorEastAsia" w:eastAsiaTheme="minorEastAsia" w:hAnsiTheme="minorEastAsia" w:cs="Times New Roman"/>
                <w:color w:val="000000" w:themeColor="text1"/>
                <w:sz w:val="21"/>
              </w:rPr>
            </w:pPr>
            <w:r w:rsidRPr="00286323">
              <w:rPr>
                <w:rFonts w:asciiTheme="minorEastAsia" w:eastAsiaTheme="minorEastAsia" w:hAnsiTheme="minorEastAsia" w:cs="Times New Roman"/>
                <w:color w:val="000000" w:themeColor="text1"/>
                <w:sz w:val="21"/>
              </w:rPr>
              <w:t>108,900.00</w:t>
            </w:r>
          </w:p>
        </w:tc>
      </w:tr>
    </w:tbl>
    <w:p w:rsidR="00155EFC" w:rsidRPr="00286323" w:rsidRDefault="00750911" w:rsidP="00155EFC">
      <w:pPr>
        <w:spacing w:line="300" w:lineRule="auto"/>
        <w:ind w:firstLineChars="200" w:firstLine="420"/>
        <w:rPr>
          <w:rFonts w:asciiTheme="minorEastAsia" w:eastAsiaTheme="minorEastAsia" w:hAnsiTheme="minorEastAsia" w:cs="Times New Roman"/>
          <w:color w:val="000000" w:themeColor="text1"/>
        </w:rPr>
      </w:pPr>
      <w:r w:rsidRPr="00286323">
        <w:rPr>
          <w:rFonts w:asciiTheme="minorEastAsia" w:eastAsiaTheme="minorEastAsia" w:hAnsiTheme="minorEastAsia" w:hint="eastAsia"/>
          <w:color w:val="000000" w:themeColor="text1"/>
        </w:rPr>
        <w:t>注：本基金本报告期末未投资股指期货。</w:t>
      </w:r>
    </w:p>
    <w:p w:rsidR="00155EFC" w:rsidRPr="00286323" w:rsidRDefault="00750911" w:rsidP="00155EFC">
      <w:pPr>
        <w:autoSpaceDE w:val="0"/>
        <w:autoSpaceDN w:val="0"/>
        <w:adjustRightInd w:val="0"/>
        <w:spacing w:line="300" w:lineRule="auto"/>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 本基金投资股指期货的投资政策</w:t>
      </w:r>
    </w:p>
    <w:p w:rsidR="00155EFC" w:rsidRPr="00286323" w:rsidRDefault="00750911" w:rsidP="00155EFC">
      <w:pPr>
        <w:spacing w:line="30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本基金可投资股指期货和其他经中国证监会允许的衍生金融产品。本基金投资股指期货根据风险管理的原则，以套期保值为目的</w:t>
      </w:r>
      <w:r w:rsidRPr="00286323">
        <w:rPr>
          <w:rFonts w:asciiTheme="minorEastAsia" w:eastAsiaTheme="minorEastAsia" w:hAnsiTheme="minorEastAsia"/>
          <w:color w:val="000000" w:themeColor="text1"/>
        </w:rPr>
        <w:t>,</w:t>
      </w:r>
      <w:r w:rsidRPr="00286323">
        <w:rPr>
          <w:rFonts w:asciiTheme="minorEastAsia" w:eastAsiaTheme="minorEastAsia" w:hAnsiTheme="minorEastAsia" w:hint="eastAsia"/>
          <w:color w:val="000000" w:themeColor="text1"/>
        </w:rPr>
        <w:t>主要选择流动性好、交易活跃的股指期货合约。本基金力争利用股指期货的杠杆作用</w:t>
      </w:r>
      <w:r w:rsidRPr="00286323">
        <w:rPr>
          <w:rFonts w:asciiTheme="minorEastAsia" w:eastAsiaTheme="minorEastAsia" w:hAnsiTheme="minorEastAsia"/>
          <w:color w:val="000000" w:themeColor="text1"/>
        </w:rPr>
        <w:t>,</w:t>
      </w:r>
      <w:r w:rsidRPr="00286323">
        <w:rPr>
          <w:rFonts w:asciiTheme="minorEastAsia" w:eastAsiaTheme="minorEastAsia" w:hAnsiTheme="minorEastAsia" w:hint="eastAsia"/>
          <w:color w:val="000000" w:themeColor="text1"/>
        </w:rPr>
        <w:t>降低股票仓位频繁调整的交易成本和跟踪误差，达到有效跟踪标的指数的目的。本报告期内，本基金投资股指期货符合既定的投资政策和投资目的。</w:t>
      </w:r>
      <w:r w:rsidRPr="00286323">
        <w:rPr>
          <w:rFonts w:asciiTheme="minorEastAsia" w:eastAsiaTheme="minorEastAsia" w:hAnsiTheme="minorEastAsia"/>
          <w:color w:val="000000" w:themeColor="text1"/>
        </w:rPr>
        <w:t xml:space="preserve"> </w:t>
      </w:r>
    </w:p>
    <w:p w:rsidR="00155EFC" w:rsidRPr="00286323" w:rsidRDefault="00750911" w:rsidP="00155EFC">
      <w:pPr>
        <w:adjustRightInd w:val="0"/>
        <w:snapToGrid w:val="0"/>
        <w:spacing w:line="300" w:lineRule="auto"/>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10、报告期末本基金投资的国债期货交易情况说明</w:t>
      </w:r>
    </w:p>
    <w:p w:rsidR="00155EFC" w:rsidRPr="00286323" w:rsidRDefault="00750911" w:rsidP="00155EFC">
      <w:pPr>
        <w:spacing w:line="30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本基金本报告期末未投资国债期货。</w:t>
      </w:r>
    </w:p>
    <w:p w:rsidR="00155EFC" w:rsidRPr="00286323" w:rsidRDefault="00750911" w:rsidP="00155EFC">
      <w:pPr>
        <w:autoSpaceDE w:val="0"/>
        <w:autoSpaceDN w:val="0"/>
        <w:adjustRightInd w:val="0"/>
        <w:spacing w:line="300" w:lineRule="auto"/>
        <w:jc w:val="left"/>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11、投资组合报告附注</w:t>
      </w:r>
    </w:p>
    <w:p w:rsidR="00155EFC" w:rsidRPr="00286323" w:rsidRDefault="00750911" w:rsidP="00155EFC">
      <w:pPr>
        <w:spacing w:line="300" w:lineRule="auto"/>
        <w:jc w:val="left"/>
        <w:rPr>
          <w:rFonts w:asciiTheme="minorEastAsia" w:eastAsiaTheme="minorEastAsia" w:hAnsiTheme="minorEastAsia" w:cs="Times New Roman"/>
          <w:color w:val="000000" w:themeColor="text1"/>
        </w:rPr>
      </w:pPr>
      <w:r w:rsidRPr="00286323">
        <w:rPr>
          <w:rFonts w:asciiTheme="minorEastAsia" w:eastAsiaTheme="minorEastAsia" w:hAnsiTheme="minorEastAsia" w:hint="eastAsia"/>
          <w:color w:val="000000" w:themeColor="text1"/>
        </w:rPr>
        <w:t>（1） 2020年7月28日，中国银行保险监督管理委员会上海监管局针对招商银行股份有限公司信用卡中心的如下违法违规行为作出责令改正、并处罚款</w:t>
      </w:r>
      <w:r w:rsidRPr="00286323">
        <w:rPr>
          <w:rFonts w:asciiTheme="minorEastAsia" w:eastAsiaTheme="minorEastAsia" w:hAnsiTheme="minorEastAsia"/>
          <w:color w:val="000000" w:themeColor="text1"/>
        </w:rPr>
        <w:t>100</w:t>
      </w:r>
      <w:r w:rsidRPr="00286323">
        <w:rPr>
          <w:rFonts w:asciiTheme="minorEastAsia" w:eastAsiaTheme="minorEastAsia" w:hAnsiTheme="minorEastAsia" w:hint="eastAsia"/>
          <w:color w:val="000000" w:themeColor="text1"/>
        </w:rPr>
        <w:t>万元的行政处罚决定：</w:t>
      </w:r>
      <w:r w:rsidRPr="00286323">
        <w:rPr>
          <w:rFonts w:asciiTheme="minorEastAsia" w:eastAsiaTheme="minorEastAsia" w:hAnsiTheme="minorEastAsia"/>
          <w:color w:val="000000" w:themeColor="text1"/>
        </w:rPr>
        <w:t>1</w:t>
      </w:r>
      <w:r w:rsidRPr="00286323">
        <w:rPr>
          <w:rFonts w:asciiTheme="minorEastAsia" w:eastAsiaTheme="minorEastAsia" w:hAnsiTheme="minorEastAsia" w:hint="eastAsia"/>
          <w:color w:val="000000" w:themeColor="text1"/>
        </w:rPr>
        <w:t>、</w:t>
      </w:r>
      <w:r w:rsidRPr="00286323">
        <w:rPr>
          <w:rFonts w:asciiTheme="minorEastAsia" w:eastAsiaTheme="minorEastAsia" w:hAnsiTheme="minorEastAsia"/>
          <w:color w:val="000000" w:themeColor="text1"/>
        </w:rPr>
        <w:t>2019</w:t>
      </w:r>
      <w:r w:rsidRPr="00286323">
        <w:rPr>
          <w:rFonts w:asciiTheme="minorEastAsia" w:eastAsiaTheme="minorEastAsia" w:hAnsiTheme="minorEastAsia" w:hint="eastAsia"/>
          <w:color w:val="000000" w:themeColor="text1"/>
        </w:rPr>
        <w:t>年</w:t>
      </w:r>
      <w:r w:rsidRPr="00286323">
        <w:rPr>
          <w:rFonts w:asciiTheme="minorEastAsia" w:eastAsiaTheme="minorEastAsia" w:hAnsiTheme="minorEastAsia"/>
          <w:color w:val="000000" w:themeColor="text1"/>
        </w:rPr>
        <w:t>7</w:t>
      </w:r>
      <w:r w:rsidRPr="00286323">
        <w:rPr>
          <w:rFonts w:asciiTheme="minorEastAsia" w:eastAsiaTheme="minorEastAsia" w:hAnsiTheme="minorEastAsia" w:hint="eastAsia"/>
          <w:color w:val="000000" w:themeColor="text1"/>
        </w:rPr>
        <w:t>月，该中心对某客户个人信息未尽安全保护义务；</w:t>
      </w:r>
      <w:r w:rsidRPr="00286323">
        <w:rPr>
          <w:rFonts w:asciiTheme="minorEastAsia" w:eastAsiaTheme="minorEastAsia" w:hAnsiTheme="minorEastAsia"/>
          <w:color w:val="000000" w:themeColor="text1"/>
        </w:rPr>
        <w:t>2</w:t>
      </w:r>
      <w:r w:rsidRPr="00286323">
        <w:rPr>
          <w:rFonts w:asciiTheme="minorEastAsia" w:eastAsiaTheme="minorEastAsia" w:hAnsiTheme="minorEastAsia" w:hint="eastAsia"/>
          <w:color w:val="000000" w:themeColor="text1"/>
        </w:rPr>
        <w:t>、</w:t>
      </w:r>
      <w:r w:rsidRPr="00286323">
        <w:rPr>
          <w:rFonts w:asciiTheme="minorEastAsia" w:eastAsiaTheme="minorEastAsia" w:hAnsiTheme="minorEastAsia"/>
          <w:color w:val="000000" w:themeColor="text1"/>
        </w:rPr>
        <w:t>2014</w:t>
      </w:r>
      <w:r w:rsidRPr="00286323">
        <w:rPr>
          <w:rFonts w:asciiTheme="minorEastAsia" w:eastAsiaTheme="minorEastAsia" w:hAnsiTheme="minorEastAsia" w:hint="eastAsia"/>
          <w:color w:val="000000" w:themeColor="text1"/>
        </w:rPr>
        <w:t>年</w:t>
      </w:r>
      <w:r w:rsidRPr="00286323">
        <w:rPr>
          <w:rFonts w:asciiTheme="minorEastAsia" w:eastAsiaTheme="minorEastAsia" w:hAnsiTheme="minorEastAsia"/>
          <w:color w:val="000000" w:themeColor="text1"/>
        </w:rPr>
        <w:t>12</w:t>
      </w:r>
      <w:r w:rsidRPr="00286323">
        <w:rPr>
          <w:rFonts w:asciiTheme="minorEastAsia" w:eastAsiaTheme="minorEastAsia" w:hAnsiTheme="minorEastAsia" w:hint="eastAsia"/>
          <w:color w:val="000000" w:themeColor="text1"/>
        </w:rPr>
        <w:t>月至</w:t>
      </w:r>
      <w:r w:rsidRPr="00286323">
        <w:rPr>
          <w:rFonts w:asciiTheme="minorEastAsia" w:eastAsiaTheme="minorEastAsia" w:hAnsiTheme="minorEastAsia"/>
          <w:color w:val="000000" w:themeColor="text1"/>
        </w:rPr>
        <w:t>2019</w:t>
      </w:r>
      <w:r w:rsidRPr="00286323">
        <w:rPr>
          <w:rFonts w:asciiTheme="minorEastAsia" w:eastAsiaTheme="minorEastAsia" w:hAnsiTheme="minorEastAsia" w:hint="eastAsia"/>
          <w:color w:val="000000" w:themeColor="text1"/>
        </w:rPr>
        <w:t>年</w:t>
      </w:r>
      <w:r w:rsidRPr="00286323">
        <w:rPr>
          <w:rFonts w:asciiTheme="minorEastAsia" w:eastAsiaTheme="minorEastAsia" w:hAnsiTheme="minorEastAsia"/>
          <w:color w:val="000000" w:themeColor="text1"/>
        </w:rPr>
        <w:t>5</w:t>
      </w:r>
      <w:r w:rsidRPr="00286323">
        <w:rPr>
          <w:rFonts w:asciiTheme="minorEastAsia" w:eastAsiaTheme="minorEastAsia" w:hAnsiTheme="minorEastAsia" w:hint="eastAsia"/>
          <w:color w:val="000000" w:themeColor="text1"/>
        </w:rPr>
        <w:t>月，该中心对某信用卡申请人资信水平调查严重不审慎。</w:t>
      </w:r>
    </w:p>
    <w:p w:rsidR="00155EFC" w:rsidRPr="00286323" w:rsidRDefault="00750911" w:rsidP="00155EFC">
      <w:pPr>
        <w:spacing w:line="300" w:lineRule="auto"/>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2020</w:t>
      </w:r>
      <w:r w:rsidRPr="00286323">
        <w:rPr>
          <w:rFonts w:asciiTheme="minorEastAsia" w:eastAsiaTheme="minorEastAsia" w:hAnsiTheme="minorEastAsia" w:hint="eastAsia"/>
          <w:color w:val="000000" w:themeColor="text1"/>
        </w:rPr>
        <w:t>年</w:t>
      </w:r>
      <w:r w:rsidRPr="00286323">
        <w:rPr>
          <w:rFonts w:asciiTheme="minorEastAsia" w:eastAsiaTheme="minorEastAsia" w:hAnsiTheme="minorEastAsia"/>
          <w:color w:val="000000" w:themeColor="text1"/>
        </w:rPr>
        <w:t>8</w:t>
      </w:r>
      <w:r w:rsidRPr="00286323">
        <w:rPr>
          <w:rFonts w:asciiTheme="minorEastAsia" w:eastAsiaTheme="minorEastAsia" w:hAnsiTheme="minorEastAsia" w:hint="eastAsia"/>
          <w:color w:val="000000" w:themeColor="text1"/>
        </w:rPr>
        <w:t>月</w:t>
      </w:r>
      <w:r w:rsidRPr="00286323">
        <w:rPr>
          <w:rFonts w:asciiTheme="minorEastAsia" w:eastAsiaTheme="minorEastAsia" w:hAnsiTheme="minorEastAsia"/>
          <w:color w:val="000000" w:themeColor="text1"/>
        </w:rPr>
        <w:t>21</w:t>
      </w:r>
      <w:r w:rsidRPr="00286323">
        <w:rPr>
          <w:rFonts w:asciiTheme="minorEastAsia" w:eastAsiaTheme="minorEastAsia" w:hAnsiTheme="minorEastAsia" w:hint="eastAsia"/>
          <w:color w:val="000000" w:themeColor="text1"/>
        </w:rPr>
        <w:t>日，中国银行保险监督管理委员会上海监管局对兴业银行股份有限公司资金营运中心的如下违法违规行为作出</w:t>
      </w:r>
      <w:r w:rsidRPr="00286323">
        <w:rPr>
          <w:rFonts w:asciiTheme="minorEastAsia" w:eastAsiaTheme="minorEastAsia" w:hAnsiTheme="minorEastAsia"/>
          <w:color w:val="000000" w:themeColor="text1"/>
        </w:rPr>
        <w:t>“</w:t>
      </w:r>
      <w:r w:rsidRPr="00286323">
        <w:rPr>
          <w:rFonts w:asciiTheme="minorEastAsia" w:eastAsiaTheme="minorEastAsia" w:hAnsiTheme="minorEastAsia" w:hint="eastAsia"/>
          <w:color w:val="000000" w:themeColor="text1"/>
        </w:rPr>
        <w:t>责令改正，并处罚款人民币</w:t>
      </w:r>
      <w:r w:rsidRPr="00286323">
        <w:rPr>
          <w:rFonts w:asciiTheme="minorEastAsia" w:eastAsiaTheme="minorEastAsia" w:hAnsiTheme="minorEastAsia"/>
          <w:color w:val="000000" w:themeColor="text1"/>
        </w:rPr>
        <w:t>50</w:t>
      </w:r>
      <w:r w:rsidRPr="00286323">
        <w:rPr>
          <w:rFonts w:asciiTheme="minorEastAsia" w:eastAsiaTheme="minorEastAsia" w:hAnsiTheme="minorEastAsia" w:hint="eastAsia"/>
          <w:color w:val="000000" w:themeColor="text1"/>
        </w:rPr>
        <w:t>万元</w:t>
      </w:r>
      <w:r w:rsidRPr="00286323">
        <w:rPr>
          <w:rFonts w:asciiTheme="minorEastAsia" w:eastAsiaTheme="minorEastAsia" w:hAnsiTheme="minorEastAsia"/>
          <w:color w:val="000000" w:themeColor="text1"/>
        </w:rPr>
        <w:t>”</w:t>
      </w:r>
      <w:r w:rsidRPr="00286323">
        <w:rPr>
          <w:rFonts w:asciiTheme="minorEastAsia" w:eastAsiaTheme="minorEastAsia" w:hAnsiTheme="minorEastAsia" w:hint="eastAsia"/>
          <w:color w:val="000000" w:themeColor="text1"/>
        </w:rPr>
        <w:t>的行政处罚决定：</w:t>
      </w:r>
      <w:r w:rsidRPr="00286323">
        <w:rPr>
          <w:rFonts w:asciiTheme="minorEastAsia" w:eastAsiaTheme="minorEastAsia" w:hAnsiTheme="minorEastAsia"/>
          <w:color w:val="000000" w:themeColor="text1"/>
        </w:rPr>
        <w:t>2017</w:t>
      </w:r>
      <w:r w:rsidRPr="00286323">
        <w:rPr>
          <w:rFonts w:asciiTheme="minorEastAsia" w:eastAsiaTheme="minorEastAsia" w:hAnsiTheme="minorEastAsia" w:hint="eastAsia"/>
          <w:color w:val="000000" w:themeColor="text1"/>
        </w:rPr>
        <w:t>年</w:t>
      </w:r>
      <w:r w:rsidRPr="00286323">
        <w:rPr>
          <w:rFonts w:asciiTheme="minorEastAsia" w:eastAsiaTheme="minorEastAsia" w:hAnsiTheme="minorEastAsia"/>
          <w:color w:val="000000" w:themeColor="text1"/>
        </w:rPr>
        <w:t>7</w:t>
      </w:r>
      <w:r w:rsidRPr="00286323">
        <w:rPr>
          <w:rFonts w:asciiTheme="minorEastAsia" w:eastAsiaTheme="minorEastAsia" w:hAnsiTheme="minorEastAsia" w:hint="eastAsia"/>
          <w:color w:val="000000" w:themeColor="text1"/>
        </w:rPr>
        <w:t>月至</w:t>
      </w:r>
      <w:r w:rsidRPr="00286323">
        <w:rPr>
          <w:rFonts w:asciiTheme="minorEastAsia" w:eastAsiaTheme="minorEastAsia" w:hAnsiTheme="minorEastAsia"/>
          <w:color w:val="000000" w:themeColor="text1"/>
        </w:rPr>
        <w:t>2019</w:t>
      </w:r>
      <w:r w:rsidRPr="00286323">
        <w:rPr>
          <w:rFonts w:asciiTheme="minorEastAsia" w:eastAsiaTheme="minorEastAsia" w:hAnsiTheme="minorEastAsia" w:hint="eastAsia"/>
          <w:color w:val="000000" w:themeColor="text1"/>
        </w:rPr>
        <w:t>年</w:t>
      </w:r>
      <w:r w:rsidRPr="00286323">
        <w:rPr>
          <w:rFonts w:asciiTheme="minorEastAsia" w:eastAsiaTheme="minorEastAsia" w:hAnsiTheme="minorEastAsia"/>
          <w:color w:val="000000" w:themeColor="text1"/>
        </w:rPr>
        <w:t>6</w:t>
      </w:r>
      <w:r w:rsidRPr="00286323">
        <w:rPr>
          <w:rFonts w:asciiTheme="minorEastAsia" w:eastAsiaTheme="minorEastAsia" w:hAnsiTheme="minorEastAsia" w:hint="eastAsia"/>
          <w:color w:val="000000" w:themeColor="text1"/>
        </w:rPr>
        <w:t>月，该中心黄金租赁业务严重违反审慎经营规则。</w:t>
      </w:r>
    </w:p>
    <w:p w:rsidR="00155EFC" w:rsidRPr="00286323" w:rsidRDefault="00750911" w:rsidP="00155EFC">
      <w:pPr>
        <w:spacing w:line="300" w:lineRule="auto"/>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2020</w:t>
      </w:r>
      <w:r w:rsidRPr="00286323">
        <w:rPr>
          <w:rFonts w:asciiTheme="minorEastAsia" w:eastAsiaTheme="minorEastAsia" w:hAnsiTheme="minorEastAsia" w:hint="eastAsia"/>
          <w:color w:val="000000" w:themeColor="text1"/>
        </w:rPr>
        <w:t>年</w:t>
      </w:r>
      <w:r w:rsidRPr="00286323">
        <w:rPr>
          <w:rFonts w:asciiTheme="minorEastAsia" w:eastAsiaTheme="minorEastAsia" w:hAnsiTheme="minorEastAsia"/>
          <w:color w:val="000000" w:themeColor="text1"/>
        </w:rPr>
        <w:t>8</w:t>
      </w:r>
      <w:r w:rsidRPr="00286323">
        <w:rPr>
          <w:rFonts w:asciiTheme="minorEastAsia" w:eastAsiaTheme="minorEastAsia" w:hAnsiTheme="minorEastAsia" w:hint="eastAsia"/>
          <w:color w:val="000000" w:themeColor="text1"/>
        </w:rPr>
        <w:t>月</w:t>
      </w:r>
      <w:r w:rsidRPr="00286323">
        <w:rPr>
          <w:rFonts w:asciiTheme="minorEastAsia" w:eastAsiaTheme="minorEastAsia" w:hAnsiTheme="minorEastAsia"/>
          <w:color w:val="000000" w:themeColor="text1"/>
        </w:rPr>
        <w:t>31</w:t>
      </w:r>
      <w:r w:rsidRPr="00286323">
        <w:rPr>
          <w:rFonts w:asciiTheme="minorEastAsia" w:eastAsiaTheme="minorEastAsia" w:hAnsiTheme="minorEastAsia" w:hint="eastAsia"/>
          <w:color w:val="000000" w:themeColor="text1"/>
        </w:rPr>
        <w:t>日，中国银保监会福建监管局对兴业银行股份有限公司的如下违法违规行为作出</w:t>
      </w:r>
      <w:r w:rsidRPr="00286323">
        <w:rPr>
          <w:rFonts w:asciiTheme="minorEastAsia" w:eastAsiaTheme="minorEastAsia" w:hAnsiTheme="minorEastAsia"/>
          <w:color w:val="000000" w:themeColor="text1"/>
        </w:rPr>
        <w:t>“</w:t>
      </w:r>
      <w:r w:rsidRPr="00286323">
        <w:rPr>
          <w:rFonts w:asciiTheme="minorEastAsia" w:eastAsiaTheme="minorEastAsia" w:hAnsiTheme="minorEastAsia" w:hint="eastAsia"/>
          <w:color w:val="000000" w:themeColor="text1"/>
        </w:rPr>
        <w:t>没收违法所得</w:t>
      </w:r>
      <w:r w:rsidRPr="00286323">
        <w:rPr>
          <w:rFonts w:asciiTheme="minorEastAsia" w:eastAsiaTheme="minorEastAsia" w:hAnsiTheme="minorEastAsia"/>
          <w:color w:val="000000" w:themeColor="text1"/>
        </w:rPr>
        <w:t>6,361,807.97</w:t>
      </w:r>
      <w:r w:rsidRPr="00286323">
        <w:rPr>
          <w:rFonts w:asciiTheme="minorEastAsia" w:eastAsiaTheme="minorEastAsia" w:hAnsiTheme="minorEastAsia" w:hint="eastAsia"/>
          <w:color w:val="000000" w:themeColor="text1"/>
        </w:rPr>
        <w:t>元，并合计处以罚款</w:t>
      </w:r>
      <w:r w:rsidRPr="00286323">
        <w:rPr>
          <w:rFonts w:asciiTheme="minorEastAsia" w:eastAsiaTheme="minorEastAsia" w:hAnsiTheme="minorEastAsia"/>
          <w:color w:val="000000" w:themeColor="text1"/>
        </w:rPr>
        <w:t>15,961,807.97</w:t>
      </w:r>
      <w:r w:rsidRPr="00286323">
        <w:rPr>
          <w:rFonts w:asciiTheme="minorEastAsia" w:eastAsiaTheme="minorEastAsia" w:hAnsiTheme="minorEastAsia" w:hint="eastAsia"/>
          <w:color w:val="000000" w:themeColor="text1"/>
        </w:rPr>
        <w:t>元</w:t>
      </w:r>
      <w:r w:rsidRPr="00286323">
        <w:rPr>
          <w:rFonts w:asciiTheme="minorEastAsia" w:eastAsiaTheme="minorEastAsia" w:hAnsiTheme="minorEastAsia"/>
          <w:color w:val="000000" w:themeColor="text1"/>
        </w:rPr>
        <w:t>”</w:t>
      </w:r>
      <w:r w:rsidRPr="00286323">
        <w:rPr>
          <w:rFonts w:asciiTheme="minorEastAsia" w:eastAsiaTheme="minorEastAsia" w:hAnsiTheme="minorEastAsia" w:hint="eastAsia"/>
          <w:color w:val="000000" w:themeColor="text1"/>
        </w:rPr>
        <w:t>的行政处罚决定：同业投资用途不合规、授信管理不尽职、采用不正当手段吸收存款、理财资金间接投资本行信贷资产收益权、非洁净转让信贷资产、违规接受地方财政部门担保。</w:t>
      </w:r>
    </w:p>
    <w:p w:rsidR="00155EFC" w:rsidRPr="00286323" w:rsidRDefault="00750911" w:rsidP="00155EFC">
      <w:pPr>
        <w:spacing w:line="300" w:lineRule="auto"/>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2020</w:t>
      </w:r>
      <w:r w:rsidRPr="00286323">
        <w:rPr>
          <w:rFonts w:asciiTheme="minorEastAsia" w:eastAsiaTheme="minorEastAsia" w:hAnsiTheme="minorEastAsia" w:hint="eastAsia"/>
          <w:color w:val="000000" w:themeColor="text1"/>
        </w:rPr>
        <w:t>年</w:t>
      </w:r>
      <w:r w:rsidRPr="00286323">
        <w:rPr>
          <w:rFonts w:asciiTheme="minorEastAsia" w:eastAsiaTheme="minorEastAsia" w:hAnsiTheme="minorEastAsia"/>
          <w:color w:val="000000" w:themeColor="text1"/>
        </w:rPr>
        <w:t>9</w:t>
      </w:r>
      <w:r w:rsidRPr="00286323">
        <w:rPr>
          <w:rFonts w:asciiTheme="minorEastAsia" w:eastAsiaTheme="minorEastAsia" w:hAnsiTheme="minorEastAsia" w:hint="eastAsia"/>
          <w:color w:val="000000" w:themeColor="text1"/>
        </w:rPr>
        <w:t>月</w:t>
      </w:r>
      <w:r w:rsidRPr="00286323">
        <w:rPr>
          <w:rFonts w:asciiTheme="minorEastAsia" w:eastAsiaTheme="minorEastAsia" w:hAnsiTheme="minorEastAsia"/>
          <w:color w:val="000000" w:themeColor="text1"/>
        </w:rPr>
        <w:t>4</w:t>
      </w:r>
      <w:r w:rsidRPr="00286323">
        <w:rPr>
          <w:rFonts w:asciiTheme="minorEastAsia" w:eastAsiaTheme="minorEastAsia" w:hAnsiTheme="minorEastAsia" w:hint="eastAsia"/>
          <w:color w:val="000000" w:themeColor="text1"/>
        </w:rPr>
        <w:t>日，中国人民银行福州中心支行对兴业银行股份有限公司的如下违法违规行为作出</w:t>
      </w:r>
      <w:r w:rsidRPr="00286323">
        <w:rPr>
          <w:rFonts w:asciiTheme="minorEastAsia" w:eastAsiaTheme="minorEastAsia" w:hAnsiTheme="minorEastAsia"/>
          <w:color w:val="000000" w:themeColor="text1"/>
        </w:rPr>
        <w:t>“</w:t>
      </w:r>
      <w:r w:rsidRPr="00286323">
        <w:rPr>
          <w:rFonts w:asciiTheme="minorEastAsia" w:eastAsiaTheme="minorEastAsia" w:hAnsiTheme="minorEastAsia" w:hint="eastAsia"/>
          <w:color w:val="000000" w:themeColor="text1"/>
        </w:rPr>
        <w:t>给予警告，没收违法所得</w:t>
      </w:r>
      <w:r w:rsidRPr="00286323">
        <w:rPr>
          <w:rFonts w:asciiTheme="minorEastAsia" w:eastAsiaTheme="minorEastAsia" w:hAnsiTheme="minorEastAsia"/>
          <w:color w:val="000000" w:themeColor="text1"/>
        </w:rPr>
        <w:t>10,875,088.15</w:t>
      </w:r>
      <w:r w:rsidRPr="00286323">
        <w:rPr>
          <w:rFonts w:asciiTheme="minorEastAsia" w:eastAsiaTheme="minorEastAsia" w:hAnsiTheme="minorEastAsia" w:hint="eastAsia"/>
          <w:color w:val="000000" w:themeColor="text1"/>
        </w:rPr>
        <w:t>元，并处</w:t>
      </w:r>
      <w:r w:rsidRPr="00286323">
        <w:rPr>
          <w:rFonts w:asciiTheme="minorEastAsia" w:eastAsiaTheme="minorEastAsia" w:hAnsiTheme="minorEastAsia"/>
          <w:color w:val="000000" w:themeColor="text1"/>
        </w:rPr>
        <w:t>13,824,431.23</w:t>
      </w:r>
      <w:r w:rsidRPr="00286323">
        <w:rPr>
          <w:rFonts w:asciiTheme="minorEastAsia" w:eastAsiaTheme="minorEastAsia" w:hAnsiTheme="minorEastAsia" w:hint="eastAsia"/>
          <w:color w:val="000000" w:themeColor="text1"/>
        </w:rPr>
        <w:t>元罚款</w:t>
      </w:r>
      <w:r w:rsidRPr="00286323">
        <w:rPr>
          <w:rFonts w:asciiTheme="minorEastAsia" w:eastAsiaTheme="minorEastAsia" w:hAnsiTheme="minorEastAsia"/>
          <w:color w:val="000000" w:themeColor="text1"/>
        </w:rPr>
        <w:t>”</w:t>
      </w:r>
      <w:r w:rsidRPr="00286323">
        <w:rPr>
          <w:rFonts w:asciiTheme="minorEastAsia" w:eastAsiaTheme="minorEastAsia" w:hAnsiTheme="minorEastAsia" w:hint="eastAsia"/>
          <w:color w:val="000000" w:themeColor="text1"/>
        </w:rPr>
        <w:t>的行政处罚决定：</w:t>
      </w:r>
      <w:r w:rsidRPr="00286323">
        <w:rPr>
          <w:rFonts w:asciiTheme="minorEastAsia" w:eastAsiaTheme="minorEastAsia" w:hAnsiTheme="minorEastAsia"/>
          <w:color w:val="000000" w:themeColor="text1"/>
        </w:rPr>
        <w:t>1.</w:t>
      </w:r>
      <w:r w:rsidRPr="00286323">
        <w:rPr>
          <w:rFonts w:asciiTheme="minorEastAsia" w:eastAsiaTheme="minorEastAsia" w:hAnsiTheme="minorEastAsia" w:hint="eastAsia"/>
          <w:color w:val="000000" w:themeColor="text1"/>
        </w:rPr>
        <w:t>为无证机构提供转接清算服务，且未落实交易信息真实性、完整性、可追溯性及支付全流程中的一致性的规定；</w:t>
      </w:r>
      <w:r w:rsidRPr="00286323">
        <w:rPr>
          <w:rFonts w:asciiTheme="minorEastAsia" w:eastAsiaTheme="minorEastAsia" w:hAnsiTheme="minorEastAsia"/>
          <w:color w:val="000000" w:themeColor="text1"/>
        </w:rPr>
        <w:t>2.</w:t>
      </w:r>
      <w:r w:rsidRPr="00286323">
        <w:rPr>
          <w:rFonts w:asciiTheme="minorEastAsia" w:eastAsiaTheme="minorEastAsia" w:hAnsiTheme="minorEastAsia" w:hint="eastAsia"/>
          <w:color w:val="000000" w:themeColor="text1"/>
        </w:rPr>
        <w:t>为支付机构超范围（超业务、超地域）经营提供支付服务，且未落实交易信息真实性、完整性、可追溯性及支付全流程中的一致性；</w:t>
      </w:r>
      <w:r w:rsidRPr="00286323">
        <w:rPr>
          <w:rFonts w:asciiTheme="minorEastAsia" w:eastAsiaTheme="minorEastAsia" w:hAnsiTheme="minorEastAsia"/>
          <w:color w:val="000000" w:themeColor="text1"/>
        </w:rPr>
        <w:t>3.</w:t>
      </w:r>
      <w:r w:rsidRPr="00286323">
        <w:rPr>
          <w:rFonts w:asciiTheme="minorEastAsia" w:eastAsiaTheme="minorEastAsia" w:hAnsiTheme="minorEastAsia" w:hint="eastAsia"/>
          <w:color w:val="000000" w:themeColor="text1"/>
        </w:rPr>
        <w:t>违规连通上、下游支付机构，提供转接清算服务，且未落实交易信息真实性、完整性、可追</w:t>
      </w:r>
      <w:r w:rsidRPr="00286323">
        <w:rPr>
          <w:rFonts w:asciiTheme="minorEastAsia" w:eastAsiaTheme="minorEastAsia" w:hAnsiTheme="minorEastAsia" w:hint="eastAsia"/>
          <w:color w:val="000000" w:themeColor="text1"/>
        </w:rPr>
        <w:lastRenderedPageBreak/>
        <w:t>溯性及支付全流程中的一致性；</w:t>
      </w:r>
      <w:r w:rsidRPr="00286323">
        <w:rPr>
          <w:rFonts w:asciiTheme="minorEastAsia" w:eastAsiaTheme="minorEastAsia" w:hAnsiTheme="minorEastAsia"/>
          <w:color w:val="000000" w:themeColor="text1"/>
        </w:rPr>
        <w:t>4.</w:t>
      </w:r>
      <w:r w:rsidRPr="00286323">
        <w:rPr>
          <w:rFonts w:asciiTheme="minorEastAsia" w:eastAsiaTheme="minorEastAsia" w:hAnsiTheme="minorEastAsia" w:hint="eastAsia"/>
          <w:color w:val="000000" w:themeColor="text1"/>
        </w:rPr>
        <w:t>违反银行卡收单外包管理规定；</w:t>
      </w:r>
      <w:r w:rsidRPr="00286323">
        <w:rPr>
          <w:rFonts w:asciiTheme="minorEastAsia" w:eastAsiaTheme="minorEastAsia" w:hAnsiTheme="minorEastAsia"/>
          <w:color w:val="000000" w:themeColor="text1"/>
        </w:rPr>
        <w:t>5.</w:t>
      </w:r>
      <w:r w:rsidRPr="00286323">
        <w:rPr>
          <w:rFonts w:asciiTheme="minorEastAsia" w:eastAsiaTheme="minorEastAsia" w:hAnsiTheme="minorEastAsia" w:hint="eastAsia"/>
          <w:color w:val="000000" w:themeColor="text1"/>
        </w:rPr>
        <w:t>未按规定履行客户身份识别义务。</w:t>
      </w:r>
    </w:p>
    <w:p w:rsidR="00155EFC" w:rsidRPr="00286323" w:rsidRDefault="00750911" w:rsidP="00155EFC">
      <w:pPr>
        <w:spacing w:line="300" w:lineRule="auto"/>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2020</w:t>
      </w:r>
      <w:r w:rsidRPr="00286323">
        <w:rPr>
          <w:rFonts w:asciiTheme="minorEastAsia" w:eastAsiaTheme="minorEastAsia" w:hAnsiTheme="minorEastAsia" w:hint="eastAsia"/>
          <w:color w:val="000000" w:themeColor="text1"/>
        </w:rPr>
        <w:t>年</w:t>
      </w:r>
      <w:r w:rsidRPr="00286323">
        <w:rPr>
          <w:rFonts w:asciiTheme="minorEastAsia" w:eastAsiaTheme="minorEastAsia" w:hAnsiTheme="minorEastAsia"/>
          <w:color w:val="000000" w:themeColor="text1"/>
        </w:rPr>
        <w:t>10</w:t>
      </w:r>
      <w:r w:rsidRPr="00286323">
        <w:rPr>
          <w:rFonts w:asciiTheme="minorEastAsia" w:eastAsiaTheme="minorEastAsia" w:hAnsiTheme="minorEastAsia" w:hint="eastAsia"/>
          <w:color w:val="000000" w:themeColor="text1"/>
        </w:rPr>
        <w:t>月</w:t>
      </w:r>
      <w:r w:rsidRPr="00286323">
        <w:rPr>
          <w:rFonts w:asciiTheme="minorEastAsia" w:eastAsiaTheme="minorEastAsia" w:hAnsiTheme="minorEastAsia"/>
          <w:color w:val="000000" w:themeColor="text1"/>
        </w:rPr>
        <w:t>22</w:t>
      </w:r>
      <w:r w:rsidRPr="00286323">
        <w:rPr>
          <w:rFonts w:asciiTheme="minorEastAsia" w:eastAsiaTheme="minorEastAsia" w:hAnsiTheme="minorEastAsia" w:hint="eastAsia"/>
          <w:color w:val="000000" w:themeColor="text1"/>
        </w:rPr>
        <w:t>日，上海银保监局对兴业银行股份有限公司信用卡中心信用卡授信审批严重违反审慎经营规则作出</w:t>
      </w:r>
      <w:r w:rsidRPr="00286323">
        <w:rPr>
          <w:rFonts w:asciiTheme="minorEastAsia" w:eastAsiaTheme="minorEastAsia" w:hAnsiTheme="minorEastAsia"/>
          <w:color w:val="000000" w:themeColor="text1"/>
        </w:rPr>
        <w:t>“</w:t>
      </w:r>
      <w:r w:rsidRPr="00286323">
        <w:rPr>
          <w:rFonts w:asciiTheme="minorEastAsia" w:eastAsiaTheme="minorEastAsia" w:hAnsiTheme="minorEastAsia" w:hint="eastAsia"/>
          <w:color w:val="000000" w:themeColor="text1"/>
        </w:rPr>
        <w:t>责令改正，并处罚款人民币</w:t>
      </w:r>
      <w:r w:rsidRPr="00286323">
        <w:rPr>
          <w:rFonts w:asciiTheme="minorEastAsia" w:eastAsiaTheme="minorEastAsia" w:hAnsiTheme="minorEastAsia"/>
          <w:color w:val="000000" w:themeColor="text1"/>
        </w:rPr>
        <w:t>50</w:t>
      </w:r>
      <w:r w:rsidRPr="00286323">
        <w:rPr>
          <w:rFonts w:asciiTheme="minorEastAsia" w:eastAsiaTheme="minorEastAsia" w:hAnsiTheme="minorEastAsia" w:hint="eastAsia"/>
          <w:color w:val="000000" w:themeColor="text1"/>
        </w:rPr>
        <w:t>万元</w:t>
      </w:r>
      <w:r w:rsidRPr="00286323">
        <w:rPr>
          <w:rFonts w:asciiTheme="minorEastAsia" w:eastAsiaTheme="minorEastAsia" w:hAnsiTheme="minorEastAsia"/>
          <w:color w:val="000000" w:themeColor="text1"/>
        </w:rPr>
        <w:t>”</w:t>
      </w:r>
      <w:r w:rsidRPr="00286323">
        <w:rPr>
          <w:rFonts w:asciiTheme="minorEastAsia" w:eastAsiaTheme="minorEastAsia" w:hAnsiTheme="minorEastAsia" w:hint="eastAsia"/>
          <w:color w:val="000000" w:themeColor="text1"/>
        </w:rPr>
        <w:t>的行政处罚。</w:t>
      </w:r>
    </w:p>
    <w:p w:rsidR="00155EFC" w:rsidRPr="00286323" w:rsidRDefault="00750911" w:rsidP="00155EFC">
      <w:pPr>
        <w:spacing w:line="300" w:lineRule="auto"/>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易方达沪深</w:t>
      </w:r>
      <w:r w:rsidRPr="00286323">
        <w:rPr>
          <w:rFonts w:asciiTheme="minorEastAsia" w:eastAsiaTheme="minorEastAsia" w:hAnsiTheme="minorEastAsia"/>
          <w:color w:val="000000" w:themeColor="text1"/>
        </w:rPr>
        <w:t>300</w:t>
      </w:r>
      <w:r w:rsidRPr="00286323">
        <w:rPr>
          <w:rFonts w:asciiTheme="minorEastAsia" w:eastAsiaTheme="minorEastAsia" w:hAnsiTheme="minorEastAsia" w:hint="eastAsia"/>
          <w:color w:val="000000" w:themeColor="text1"/>
        </w:rPr>
        <w:t>量化增强证券投资基金为指数增强型基金。本基金投资招商银行、兴业银行的投资决策程序符合公司投资制度的规定。</w:t>
      </w:r>
    </w:p>
    <w:p w:rsidR="00155EFC" w:rsidRPr="00286323" w:rsidRDefault="00750911" w:rsidP="00155EFC">
      <w:pPr>
        <w:spacing w:line="300" w:lineRule="auto"/>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除招招商银行、兴业银行外，本基金投资的前十名证券的发行主体本期没有出现被监管部门立案调查，或在报告编制日前一年内受到公开谴责、处罚的情形。</w:t>
      </w:r>
    </w:p>
    <w:p w:rsidR="00155EFC" w:rsidRPr="00286323" w:rsidRDefault="00750911" w:rsidP="00155EFC">
      <w:pPr>
        <w:spacing w:line="300" w:lineRule="auto"/>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 本基金投资的前十名股票没有超出基金合同规定的备选股票库。</w:t>
      </w:r>
    </w:p>
    <w:p w:rsidR="00155EFC" w:rsidRPr="00286323" w:rsidRDefault="00750911" w:rsidP="00155EFC">
      <w:pPr>
        <w:autoSpaceDE w:val="0"/>
        <w:autoSpaceDN w:val="0"/>
        <w:adjustRightInd w:val="0"/>
        <w:spacing w:line="300" w:lineRule="auto"/>
        <w:jc w:val="left"/>
        <w:rPr>
          <w:rFonts w:asciiTheme="minorEastAsia" w:eastAsiaTheme="minorEastAsia" w:hAnsiTheme="minorEastAsia" w:cs="Arial"/>
          <w:color w:val="000000" w:themeColor="text1"/>
        </w:rPr>
      </w:pPr>
      <w:r w:rsidRPr="00286323">
        <w:rPr>
          <w:rFonts w:asciiTheme="minorEastAsia" w:eastAsiaTheme="minorEastAsia" w:hAnsiTheme="minorEastAsia" w:hint="eastAsia"/>
          <w:color w:val="000000" w:themeColor="text1"/>
        </w:rPr>
        <w:t>（3）其他资产构成</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8"/>
        <w:gridCol w:w="2595"/>
        <w:gridCol w:w="4507"/>
      </w:tblGrid>
      <w:tr w:rsidR="00286323" w:rsidRPr="00286323" w:rsidTr="00155EFC">
        <w:tc>
          <w:tcPr>
            <w:tcW w:w="944"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autoSpaceDE w:val="0"/>
              <w:autoSpaceDN w:val="0"/>
              <w:adjustRightInd w:val="0"/>
              <w:spacing w:before="29" w:line="300" w:lineRule="auto"/>
              <w:ind w:left="17"/>
              <w:jc w:val="center"/>
              <w:rPr>
                <w:rFonts w:asciiTheme="minorEastAsia" w:eastAsiaTheme="minorEastAsia" w:hAnsiTheme="minorEastAsia" w:cs="Times New Roman"/>
                <w:color w:val="000000" w:themeColor="text1"/>
              </w:rPr>
            </w:pPr>
            <w:r w:rsidRPr="00286323">
              <w:rPr>
                <w:rFonts w:asciiTheme="minorEastAsia" w:eastAsiaTheme="minorEastAsia" w:hAnsiTheme="minorEastAsia" w:hint="eastAsia"/>
                <w:color w:val="000000" w:themeColor="text1"/>
              </w:rPr>
              <w:t>序号</w:t>
            </w:r>
          </w:p>
        </w:tc>
        <w:tc>
          <w:tcPr>
            <w:tcW w:w="2761"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autoSpaceDE w:val="0"/>
              <w:autoSpaceDN w:val="0"/>
              <w:adjustRightInd w:val="0"/>
              <w:spacing w:before="29" w:line="300" w:lineRule="auto"/>
              <w:ind w:left="17"/>
              <w:jc w:val="center"/>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名称</w:t>
            </w:r>
          </w:p>
        </w:tc>
        <w:tc>
          <w:tcPr>
            <w:tcW w:w="4808"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autoSpaceDE w:val="0"/>
              <w:autoSpaceDN w:val="0"/>
              <w:adjustRightInd w:val="0"/>
              <w:spacing w:before="29" w:line="300" w:lineRule="auto"/>
              <w:ind w:left="17"/>
              <w:jc w:val="center"/>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金额（元）</w:t>
            </w:r>
          </w:p>
        </w:tc>
      </w:tr>
      <w:tr w:rsidR="00286323" w:rsidRPr="00286323" w:rsidTr="00155EFC">
        <w:tc>
          <w:tcPr>
            <w:tcW w:w="944"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w:t>
            </w:r>
          </w:p>
        </w:tc>
        <w:tc>
          <w:tcPr>
            <w:tcW w:w="2761"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autoSpaceDE w:val="0"/>
              <w:autoSpaceDN w:val="0"/>
              <w:adjustRightInd w:val="0"/>
              <w:spacing w:before="29" w:line="300" w:lineRule="auto"/>
              <w:ind w:left="15"/>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存出保证金</w:t>
            </w:r>
          </w:p>
        </w:tc>
        <w:tc>
          <w:tcPr>
            <w:tcW w:w="4808"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autoSpaceDE w:val="0"/>
              <w:autoSpaceDN w:val="0"/>
              <w:adjustRightInd w:val="0"/>
              <w:spacing w:before="29" w:line="300" w:lineRule="auto"/>
              <w:ind w:left="15"/>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119,393.91</w:t>
            </w:r>
          </w:p>
        </w:tc>
      </w:tr>
      <w:tr w:rsidR="00286323" w:rsidRPr="00286323" w:rsidTr="00155EFC">
        <w:tc>
          <w:tcPr>
            <w:tcW w:w="944"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w:t>
            </w:r>
          </w:p>
        </w:tc>
        <w:tc>
          <w:tcPr>
            <w:tcW w:w="2761"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autoSpaceDE w:val="0"/>
              <w:autoSpaceDN w:val="0"/>
              <w:adjustRightInd w:val="0"/>
              <w:spacing w:before="29" w:line="300" w:lineRule="auto"/>
              <w:ind w:left="15"/>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应收证券清算款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autoSpaceDE w:val="0"/>
              <w:autoSpaceDN w:val="0"/>
              <w:adjustRightInd w:val="0"/>
              <w:spacing w:before="29" w:line="300" w:lineRule="auto"/>
              <w:ind w:left="15"/>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10,027.55</w:t>
            </w:r>
          </w:p>
        </w:tc>
      </w:tr>
      <w:tr w:rsidR="00286323" w:rsidRPr="00286323" w:rsidTr="00155EFC">
        <w:tc>
          <w:tcPr>
            <w:tcW w:w="944"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3</w:t>
            </w:r>
          </w:p>
        </w:tc>
        <w:tc>
          <w:tcPr>
            <w:tcW w:w="2761"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autoSpaceDE w:val="0"/>
              <w:autoSpaceDN w:val="0"/>
              <w:adjustRightInd w:val="0"/>
              <w:spacing w:before="29" w:line="300" w:lineRule="auto"/>
              <w:ind w:left="15"/>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应收股利</w:t>
            </w:r>
          </w:p>
        </w:tc>
        <w:tc>
          <w:tcPr>
            <w:tcW w:w="4808"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autoSpaceDE w:val="0"/>
              <w:autoSpaceDN w:val="0"/>
              <w:adjustRightInd w:val="0"/>
              <w:spacing w:before="29" w:line="300" w:lineRule="auto"/>
              <w:ind w:left="15"/>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r>
      <w:tr w:rsidR="00286323" w:rsidRPr="00286323" w:rsidTr="00155EFC">
        <w:tc>
          <w:tcPr>
            <w:tcW w:w="944"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4</w:t>
            </w:r>
          </w:p>
        </w:tc>
        <w:tc>
          <w:tcPr>
            <w:tcW w:w="2761"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autoSpaceDE w:val="0"/>
              <w:autoSpaceDN w:val="0"/>
              <w:adjustRightInd w:val="0"/>
              <w:spacing w:before="29" w:line="300" w:lineRule="auto"/>
              <w:ind w:left="15"/>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应收利息</w:t>
            </w:r>
          </w:p>
        </w:tc>
        <w:tc>
          <w:tcPr>
            <w:tcW w:w="4808"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autoSpaceDE w:val="0"/>
              <w:autoSpaceDN w:val="0"/>
              <w:adjustRightInd w:val="0"/>
              <w:spacing w:before="29" w:line="300" w:lineRule="auto"/>
              <w:ind w:left="15"/>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11,204.75</w:t>
            </w:r>
          </w:p>
        </w:tc>
      </w:tr>
      <w:tr w:rsidR="00286323" w:rsidRPr="00286323" w:rsidTr="00155EFC">
        <w:tc>
          <w:tcPr>
            <w:tcW w:w="944"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5</w:t>
            </w:r>
          </w:p>
        </w:tc>
        <w:tc>
          <w:tcPr>
            <w:tcW w:w="2761"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autoSpaceDE w:val="0"/>
              <w:autoSpaceDN w:val="0"/>
              <w:adjustRightInd w:val="0"/>
              <w:spacing w:before="29" w:line="300" w:lineRule="auto"/>
              <w:ind w:left="15"/>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应收申购款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autoSpaceDE w:val="0"/>
              <w:autoSpaceDN w:val="0"/>
              <w:adjustRightInd w:val="0"/>
              <w:spacing w:before="29" w:line="300" w:lineRule="auto"/>
              <w:ind w:left="15"/>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1,902,376.36</w:t>
            </w:r>
          </w:p>
        </w:tc>
      </w:tr>
      <w:tr w:rsidR="00286323" w:rsidRPr="00286323" w:rsidTr="00155EFC">
        <w:tc>
          <w:tcPr>
            <w:tcW w:w="944"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6</w:t>
            </w:r>
          </w:p>
        </w:tc>
        <w:tc>
          <w:tcPr>
            <w:tcW w:w="2761"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autoSpaceDE w:val="0"/>
              <w:autoSpaceDN w:val="0"/>
              <w:adjustRightInd w:val="0"/>
              <w:spacing w:before="29" w:line="300" w:lineRule="auto"/>
              <w:ind w:left="15"/>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其他应收款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autoSpaceDE w:val="0"/>
              <w:autoSpaceDN w:val="0"/>
              <w:adjustRightInd w:val="0"/>
              <w:spacing w:before="29" w:line="300" w:lineRule="auto"/>
              <w:ind w:left="15"/>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r>
      <w:tr w:rsidR="00286323" w:rsidRPr="00286323" w:rsidTr="00155EFC">
        <w:tc>
          <w:tcPr>
            <w:tcW w:w="944" w:type="dxa"/>
            <w:tcBorders>
              <w:top w:val="single" w:sz="4" w:space="0" w:color="auto"/>
              <w:left w:val="single" w:sz="4" w:space="0" w:color="auto"/>
              <w:bottom w:val="single" w:sz="4" w:space="0" w:color="auto"/>
              <w:right w:val="single" w:sz="4" w:space="0" w:color="auto"/>
            </w:tcBorders>
            <w:hideMark/>
          </w:tcPr>
          <w:p w:rsidR="00155EFC" w:rsidRPr="00286323" w:rsidRDefault="00750911" w:rsidP="00155EFC">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7</w:t>
            </w:r>
          </w:p>
        </w:tc>
        <w:tc>
          <w:tcPr>
            <w:tcW w:w="2761" w:type="dxa"/>
            <w:tcBorders>
              <w:top w:val="single" w:sz="4" w:space="0" w:color="auto"/>
              <w:left w:val="single" w:sz="4" w:space="0" w:color="auto"/>
              <w:bottom w:val="single" w:sz="4" w:space="0" w:color="auto"/>
              <w:right w:val="single" w:sz="4" w:space="0" w:color="auto"/>
            </w:tcBorders>
            <w:hideMark/>
          </w:tcPr>
          <w:p w:rsidR="00155EFC" w:rsidRPr="00286323" w:rsidRDefault="00750911" w:rsidP="00155EFC">
            <w:pPr>
              <w:autoSpaceDE w:val="0"/>
              <w:autoSpaceDN w:val="0"/>
              <w:adjustRightInd w:val="0"/>
              <w:spacing w:before="29" w:line="300" w:lineRule="auto"/>
              <w:ind w:left="15"/>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待摊费用</w:t>
            </w:r>
          </w:p>
        </w:tc>
        <w:tc>
          <w:tcPr>
            <w:tcW w:w="4808"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autoSpaceDE w:val="0"/>
              <w:autoSpaceDN w:val="0"/>
              <w:adjustRightInd w:val="0"/>
              <w:spacing w:before="29" w:line="300" w:lineRule="auto"/>
              <w:ind w:left="15"/>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r>
      <w:tr w:rsidR="00286323" w:rsidRPr="00286323" w:rsidTr="00155EFC">
        <w:tc>
          <w:tcPr>
            <w:tcW w:w="944"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8</w:t>
            </w:r>
          </w:p>
        </w:tc>
        <w:tc>
          <w:tcPr>
            <w:tcW w:w="2761"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autoSpaceDE w:val="0"/>
              <w:autoSpaceDN w:val="0"/>
              <w:adjustRightInd w:val="0"/>
              <w:spacing w:before="29" w:line="300" w:lineRule="auto"/>
              <w:ind w:left="15"/>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其他</w:t>
            </w:r>
          </w:p>
        </w:tc>
        <w:tc>
          <w:tcPr>
            <w:tcW w:w="4808"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autoSpaceDE w:val="0"/>
              <w:autoSpaceDN w:val="0"/>
              <w:adjustRightInd w:val="0"/>
              <w:spacing w:before="29" w:line="300" w:lineRule="auto"/>
              <w:ind w:left="15"/>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w:t>
            </w:r>
          </w:p>
        </w:tc>
      </w:tr>
      <w:tr w:rsidR="00286323" w:rsidRPr="00286323" w:rsidTr="00155EFC">
        <w:tc>
          <w:tcPr>
            <w:tcW w:w="944"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9</w:t>
            </w:r>
          </w:p>
        </w:tc>
        <w:tc>
          <w:tcPr>
            <w:tcW w:w="2761"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autoSpaceDE w:val="0"/>
              <w:autoSpaceDN w:val="0"/>
              <w:adjustRightInd w:val="0"/>
              <w:spacing w:before="29" w:line="300" w:lineRule="auto"/>
              <w:ind w:left="15"/>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合计</w:t>
            </w:r>
          </w:p>
        </w:tc>
        <w:tc>
          <w:tcPr>
            <w:tcW w:w="4808" w:type="dxa"/>
            <w:tcBorders>
              <w:top w:val="single" w:sz="4" w:space="0" w:color="auto"/>
              <w:left w:val="single" w:sz="4" w:space="0" w:color="auto"/>
              <w:bottom w:val="single" w:sz="4" w:space="0" w:color="auto"/>
              <w:right w:val="single" w:sz="4" w:space="0" w:color="auto"/>
            </w:tcBorders>
            <w:vAlign w:val="center"/>
            <w:hideMark/>
          </w:tcPr>
          <w:p w:rsidR="00155EFC" w:rsidRPr="00286323" w:rsidRDefault="00750911" w:rsidP="00155EFC">
            <w:pPr>
              <w:autoSpaceDE w:val="0"/>
              <w:autoSpaceDN w:val="0"/>
              <w:adjustRightInd w:val="0"/>
              <w:spacing w:before="29" w:line="300" w:lineRule="auto"/>
              <w:ind w:left="15"/>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2,043,002.57</w:t>
            </w:r>
          </w:p>
        </w:tc>
      </w:tr>
    </w:tbl>
    <w:p w:rsidR="00155EFC" w:rsidRPr="00286323" w:rsidRDefault="00750911" w:rsidP="00155EFC">
      <w:pPr>
        <w:autoSpaceDE w:val="0"/>
        <w:autoSpaceDN w:val="0"/>
        <w:adjustRightInd w:val="0"/>
        <w:spacing w:line="300" w:lineRule="auto"/>
        <w:jc w:val="left"/>
        <w:rPr>
          <w:rFonts w:asciiTheme="minorEastAsia" w:eastAsiaTheme="minorEastAsia" w:hAnsiTheme="minorEastAsia" w:cs="Arial"/>
          <w:color w:val="000000" w:themeColor="text1"/>
        </w:rPr>
      </w:pPr>
      <w:r w:rsidRPr="00286323">
        <w:rPr>
          <w:rFonts w:asciiTheme="minorEastAsia" w:eastAsiaTheme="minorEastAsia" w:hAnsiTheme="minorEastAsia" w:hint="eastAsia"/>
          <w:color w:val="000000" w:themeColor="text1"/>
        </w:rPr>
        <w:t>（4）报告期末持有的处于转股期的可转换债券明细</w:t>
      </w:r>
    </w:p>
    <w:p w:rsidR="00155EFC" w:rsidRPr="00286323" w:rsidRDefault="00750911" w:rsidP="00155EFC">
      <w:pPr>
        <w:spacing w:line="300" w:lineRule="auto"/>
        <w:ind w:firstLineChars="200" w:firstLine="420"/>
        <w:rPr>
          <w:rFonts w:asciiTheme="minorEastAsia" w:eastAsiaTheme="minorEastAsia" w:hAnsiTheme="minorEastAsia" w:cs="Times New Roman"/>
          <w:color w:val="000000" w:themeColor="text1"/>
        </w:rPr>
      </w:pPr>
      <w:r w:rsidRPr="00286323">
        <w:rPr>
          <w:rFonts w:asciiTheme="minorEastAsia" w:eastAsiaTheme="minorEastAsia" w:hAnsiTheme="minorEastAsia" w:hint="eastAsia"/>
          <w:color w:val="000000" w:themeColor="text1"/>
        </w:rPr>
        <w:t>本基金本报告期末未持有处于转股期的可转换债券。</w:t>
      </w:r>
    </w:p>
    <w:p w:rsidR="00155EFC" w:rsidRPr="00286323" w:rsidRDefault="00750911" w:rsidP="00155EFC">
      <w:pPr>
        <w:spacing w:line="300" w:lineRule="auto"/>
        <w:jc w:val="left"/>
        <w:rPr>
          <w:rFonts w:asciiTheme="minorEastAsia" w:eastAsiaTheme="minorEastAsia" w:hAnsiTheme="minorEastAsia" w:cs="Arial"/>
          <w:color w:val="000000" w:themeColor="text1"/>
        </w:rPr>
      </w:pPr>
      <w:r w:rsidRPr="00286323">
        <w:rPr>
          <w:rFonts w:asciiTheme="minorEastAsia" w:eastAsiaTheme="minorEastAsia" w:hAnsiTheme="minorEastAsia" w:hint="eastAsia"/>
          <w:color w:val="000000" w:themeColor="text1"/>
        </w:rPr>
        <w:t>（5）报告期末前十名股票中存在流通受限情况的说明</w:t>
      </w:r>
    </w:p>
    <w:p w:rsidR="00155EFC" w:rsidRPr="00286323" w:rsidRDefault="00852C65" w:rsidP="00155EFC">
      <w:pPr>
        <w:spacing w:line="300" w:lineRule="auto"/>
        <w:rPr>
          <w:rFonts w:asciiTheme="minorEastAsia" w:eastAsiaTheme="minorEastAsia" w:hAnsiTheme="minorEastAsia" w:cs="Arial"/>
          <w:color w:val="000000" w:themeColor="text1"/>
        </w:rPr>
      </w:pPr>
      <w:r w:rsidRPr="00286323">
        <w:rPr>
          <w:rFonts w:asciiTheme="minorEastAsia" w:eastAsiaTheme="minorEastAsia" w:hAnsiTheme="minorEastAsia"/>
          <w:color w:val="000000" w:themeColor="text1"/>
        </w:rPr>
        <w:t>1</w:t>
      </w:r>
      <w:r w:rsidRPr="00286323">
        <w:rPr>
          <w:rFonts w:asciiTheme="minorEastAsia" w:eastAsiaTheme="minorEastAsia" w:hAnsiTheme="minorEastAsia" w:hint="eastAsia"/>
          <w:color w:val="000000" w:themeColor="text1"/>
        </w:rPr>
        <w:t>）</w:t>
      </w:r>
      <w:r w:rsidR="00750911" w:rsidRPr="00286323">
        <w:rPr>
          <w:rFonts w:asciiTheme="minorEastAsia" w:eastAsiaTheme="minorEastAsia" w:hAnsiTheme="minorEastAsia" w:hint="eastAsia"/>
          <w:color w:val="000000" w:themeColor="text1"/>
        </w:rPr>
        <w:t>期末指数投资前十名股票中存在流通受限情况的说明</w:t>
      </w:r>
    </w:p>
    <w:p w:rsidR="00155EFC" w:rsidRPr="00286323" w:rsidRDefault="00750911" w:rsidP="00155EFC">
      <w:pPr>
        <w:spacing w:line="300" w:lineRule="auto"/>
        <w:ind w:firstLineChars="200" w:firstLine="420"/>
        <w:rPr>
          <w:rFonts w:asciiTheme="minorEastAsia" w:eastAsiaTheme="minorEastAsia" w:hAnsiTheme="minorEastAsia" w:cs="Times New Roman"/>
          <w:color w:val="000000" w:themeColor="text1"/>
        </w:rPr>
      </w:pPr>
      <w:r w:rsidRPr="00286323">
        <w:rPr>
          <w:rFonts w:asciiTheme="minorEastAsia" w:eastAsiaTheme="minorEastAsia" w:hAnsiTheme="minorEastAsia" w:hint="eastAsia"/>
          <w:color w:val="000000" w:themeColor="text1"/>
        </w:rPr>
        <w:t>本基金本报告期末指数投资前十名股票中不存在流通受限情况。</w:t>
      </w:r>
    </w:p>
    <w:p w:rsidR="00155EFC" w:rsidRPr="00286323" w:rsidRDefault="00852C65" w:rsidP="00155EFC">
      <w:pPr>
        <w:spacing w:line="300" w:lineRule="auto"/>
        <w:rPr>
          <w:rFonts w:asciiTheme="minorEastAsia" w:eastAsiaTheme="minorEastAsia" w:hAnsiTheme="minorEastAsia" w:cs="STSong-Light"/>
          <w:color w:val="000000" w:themeColor="text1"/>
        </w:rPr>
      </w:pPr>
      <w:r w:rsidRPr="00286323">
        <w:rPr>
          <w:rFonts w:asciiTheme="minorEastAsia" w:eastAsiaTheme="minorEastAsia" w:hAnsiTheme="minorEastAsia"/>
          <w:color w:val="000000" w:themeColor="text1"/>
        </w:rPr>
        <w:t>2</w:t>
      </w:r>
      <w:r w:rsidRPr="00286323">
        <w:rPr>
          <w:rFonts w:asciiTheme="minorEastAsia" w:eastAsiaTheme="minorEastAsia" w:hAnsiTheme="minorEastAsia" w:hint="eastAsia"/>
          <w:color w:val="000000" w:themeColor="text1"/>
        </w:rPr>
        <w:t>）</w:t>
      </w:r>
      <w:r w:rsidR="00750911" w:rsidRPr="00286323">
        <w:rPr>
          <w:rFonts w:asciiTheme="minorEastAsia" w:eastAsiaTheme="minorEastAsia" w:hAnsiTheme="minorEastAsia" w:hint="eastAsia"/>
          <w:color w:val="000000" w:themeColor="text1"/>
        </w:rPr>
        <w:t>期末积极投资前五名股票中存在流通受限情况的说明</w:t>
      </w:r>
    </w:p>
    <w:p w:rsidR="00155EFC" w:rsidRPr="00286323" w:rsidRDefault="00750911" w:rsidP="00155EFC">
      <w:pPr>
        <w:spacing w:line="300" w:lineRule="auto"/>
        <w:ind w:firstLineChars="200" w:firstLine="420"/>
        <w:rPr>
          <w:rFonts w:asciiTheme="minorEastAsia" w:eastAsiaTheme="minorEastAsia" w:hAnsiTheme="minorEastAsia" w:cs="Times New Roman"/>
          <w:color w:val="000000" w:themeColor="text1"/>
        </w:rPr>
      </w:pPr>
      <w:r w:rsidRPr="00286323">
        <w:rPr>
          <w:rFonts w:asciiTheme="minorEastAsia" w:eastAsiaTheme="minorEastAsia" w:hAnsiTheme="minorEastAsia" w:hint="eastAsia"/>
          <w:color w:val="000000" w:themeColor="text1"/>
        </w:rPr>
        <w:t>本基金本报告期末积极投资前五名股票中不存在流通受限情况。</w:t>
      </w:r>
    </w:p>
    <w:p w:rsidR="00155EFC" w:rsidRPr="00286323" w:rsidRDefault="00750911" w:rsidP="00155EFC">
      <w:pPr>
        <w:spacing w:line="300" w:lineRule="auto"/>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 xml:space="preserve"> </w:t>
      </w:r>
      <w:r w:rsidRPr="00286323">
        <w:rPr>
          <w:rFonts w:asciiTheme="minorEastAsia" w:eastAsiaTheme="minorEastAsia" w:hAnsiTheme="minorEastAsia"/>
          <w:color w:val="000000" w:themeColor="text1"/>
        </w:rPr>
        <w:br w:type="page"/>
      </w:r>
    </w:p>
    <w:p w:rsidR="00D75CA1" w:rsidRPr="00286323" w:rsidRDefault="00D75CA1" w:rsidP="00F71D3B">
      <w:pPr>
        <w:pStyle w:val="11"/>
        <w:numPr>
          <w:ilvl w:val="0"/>
          <w:numId w:val="9"/>
        </w:numPr>
        <w:snapToGrid w:val="0"/>
        <w:spacing w:beforeLines="0" w:afterLines="0" w:line="360" w:lineRule="auto"/>
        <w:ind w:firstLineChars="0"/>
        <w:rPr>
          <w:rFonts w:asciiTheme="minorEastAsia" w:eastAsiaTheme="minorEastAsia" w:hAnsiTheme="minorEastAsia" w:cs="Arial"/>
          <w:bCs/>
          <w:color w:val="000000" w:themeColor="text1"/>
        </w:rPr>
      </w:pPr>
      <w:bookmarkStart w:id="81" w:name="_Toc231035066"/>
      <w:bookmarkStart w:id="82" w:name="_Toc231035636"/>
      <w:bookmarkStart w:id="83" w:name="_Toc231035812"/>
      <w:bookmarkStart w:id="84" w:name="_Toc231044572"/>
      <w:bookmarkStart w:id="85" w:name="_Toc231044703"/>
      <w:bookmarkStart w:id="86" w:name="_Toc231044833"/>
      <w:bookmarkStart w:id="87" w:name="_Toc231044963"/>
      <w:bookmarkStart w:id="88" w:name="_Toc372549219"/>
      <w:bookmarkStart w:id="89" w:name="_Toc81922646"/>
      <w:r w:rsidRPr="00286323">
        <w:rPr>
          <w:rFonts w:asciiTheme="minorEastAsia" w:eastAsiaTheme="minorEastAsia" w:hAnsiTheme="minorEastAsia" w:cs="Arial" w:hint="eastAsia"/>
          <w:bCs/>
          <w:color w:val="000000" w:themeColor="text1"/>
        </w:rPr>
        <w:lastRenderedPageBreak/>
        <w:t>基金的业绩</w:t>
      </w:r>
      <w:bookmarkEnd w:id="81"/>
      <w:bookmarkEnd w:id="82"/>
      <w:bookmarkEnd w:id="83"/>
      <w:bookmarkEnd w:id="84"/>
      <w:bookmarkEnd w:id="85"/>
      <w:bookmarkEnd w:id="86"/>
      <w:bookmarkEnd w:id="87"/>
      <w:bookmarkEnd w:id="88"/>
      <w:bookmarkEnd w:id="89"/>
    </w:p>
    <w:p w:rsidR="00D75CA1" w:rsidRPr="00286323" w:rsidRDefault="00D75CA1" w:rsidP="00F71D3B">
      <w:pPr>
        <w:pStyle w:val="af3"/>
        <w:snapToGrid w:val="0"/>
        <w:spacing w:line="360" w:lineRule="auto"/>
        <w:ind w:firstLine="420"/>
        <w:rPr>
          <w:rFonts w:asciiTheme="minorEastAsia" w:eastAsiaTheme="minorEastAsia" w:hAnsiTheme="minorEastAsia"/>
          <w:color w:val="000000" w:themeColor="text1"/>
          <w:sz w:val="21"/>
          <w:szCs w:val="21"/>
        </w:rPr>
      </w:pPr>
      <w:r w:rsidRPr="00286323">
        <w:rPr>
          <w:rFonts w:asciiTheme="minorEastAsia" w:eastAsiaTheme="minorEastAsia" w:hAnsiTheme="minorEastAsia"/>
          <w:color w:val="000000" w:themeColor="text1"/>
          <w:sz w:val="21"/>
          <w:szCs w:val="21"/>
        </w:rPr>
        <w:t>基金管理人依照恪尽职守、诚实信用、谨慎勤勉的原则管理和运用基金财产，但不保证基金一定盈利，也不保证最低收益。基金的过往业绩并不代表其未来表现。投资有风险，投资者在</w:t>
      </w:r>
      <w:r w:rsidRPr="00286323">
        <w:rPr>
          <w:rFonts w:asciiTheme="minorEastAsia" w:eastAsiaTheme="minorEastAsia" w:hAnsiTheme="minorEastAsia" w:hint="eastAsia"/>
          <w:color w:val="000000" w:themeColor="text1"/>
          <w:sz w:val="21"/>
          <w:szCs w:val="21"/>
        </w:rPr>
        <w:t>作出</w:t>
      </w:r>
      <w:r w:rsidRPr="00286323">
        <w:rPr>
          <w:rFonts w:asciiTheme="minorEastAsia" w:eastAsiaTheme="minorEastAsia" w:hAnsiTheme="minorEastAsia"/>
          <w:color w:val="000000" w:themeColor="text1"/>
          <w:sz w:val="21"/>
          <w:szCs w:val="21"/>
        </w:rPr>
        <w:t>投资决策前应仔细阅读本基金的招募说明书。</w:t>
      </w:r>
    </w:p>
    <w:p w:rsidR="001E57DE" w:rsidRPr="00286323" w:rsidRDefault="001E57DE"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基金合同生效日为2012年7月5日，基金合同生效以来（截至2020年12月31日）的投资业绩及与同期基准的比较如下表所示：</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080"/>
        <w:gridCol w:w="1080"/>
        <w:gridCol w:w="1440"/>
        <w:gridCol w:w="1440"/>
        <w:gridCol w:w="900"/>
        <w:gridCol w:w="900"/>
      </w:tblGrid>
      <w:tr w:rsidR="00286323" w:rsidRPr="00286323" w:rsidTr="001E57DE">
        <w:trPr>
          <w:trHeight w:val="315"/>
        </w:trPr>
        <w:tc>
          <w:tcPr>
            <w:tcW w:w="1440" w:type="dxa"/>
            <w:tcBorders>
              <w:top w:val="single" w:sz="4" w:space="0" w:color="auto"/>
              <w:left w:val="single" w:sz="4" w:space="0" w:color="auto"/>
              <w:bottom w:val="single" w:sz="4" w:space="0" w:color="auto"/>
              <w:right w:val="single" w:sz="4" w:space="0" w:color="auto"/>
            </w:tcBorders>
            <w:vAlign w:val="center"/>
            <w:hideMark/>
          </w:tcPr>
          <w:p w:rsidR="001E57DE" w:rsidRPr="00286323" w:rsidRDefault="001E57DE" w:rsidP="00F71D3B">
            <w:pPr>
              <w:widowControl w:val="0"/>
              <w:snapToGrid w:val="0"/>
              <w:spacing w:line="360" w:lineRule="auto"/>
              <w:jc w:val="center"/>
              <w:rPr>
                <w:rFonts w:asciiTheme="minorEastAsia" w:eastAsiaTheme="minorEastAsia" w:hAnsiTheme="minorEastAsia" w:cs="Arial Unicode MS"/>
                <w:color w:val="000000" w:themeColor="text1"/>
                <w:kern w:val="2"/>
              </w:rPr>
            </w:pPr>
            <w:r w:rsidRPr="00286323">
              <w:rPr>
                <w:rFonts w:asciiTheme="minorEastAsia" w:eastAsiaTheme="minorEastAsia" w:hAnsiTheme="minorEastAsia" w:hint="eastAsia"/>
                <w:color w:val="000000" w:themeColor="text1"/>
              </w:rPr>
              <w:t>阶段</w:t>
            </w:r>
          </w:p>
        </w:tc>
        <w:tc>
          <w:tcPr>
            <w:tcW w:w="1080" w:type="dxa"/>
            <w:tcBorders>
              <w:top w:val="single" w:sz="4" w:space="0" w:color="auto"/>
              <w:left w:val="single" w:sz="4" w:space="0" w:color="auto"/>
              <w:bottom w:val="single" w:sz="4" w:space="0" w:color="auto"/>
              <w:right w:val="single" w:sz="4" w:space="0" w:color="auto"/>
            </w:tcBorders>
            <w:vAlign w:val="center"/>
            <w:hideMark/>
          </w:tcPr>
          <w:p w:rsidR="001E57DE" w:rsidRPr="00286323" w:rsidRDefault="001E57DE" w:rsidP="00F71D3B">
            <w:pPr>
              <w:widowControl w:val="0"/>
              <w:snapToGrid w:val="0"/>
              <w:spacing w:line="360" w:lineRule="auto"/>
              <w:jc w:val="center"/>
              <w:rPr>
                <w:rFonts w:asciiTheme="minorEastAsia" w:eastAsiaTheme="minorEastAsia" w:hAnsiTheme="minorEastAsia" w:cs="Arial Unicode MS"/>
                <w:color w:val="000000" w:themeColor="text1"/>
                <w:kern w:val="2"/>
              </w:rPr>
            </w:pPr>
            <w:r w:rsidRPr="00286323">
              <w:rPr>
                <w:rFonts w:asciiTheme="minorEastAsia" w:eastAsiaTheme="minorEastAsia" w:hAnsiTheme="minorEastAsia" w:hint="eastAsia"/>
                <w:color w:val="000000" w:themeColor="text1"/>
              </w:rPr>
              <w:t>净值增长率（1）</w:t>
            </w:r>
          </w:p>
        </w:tc>
        <w:tc>
          <w:tcPr>
            <w:tcW w:w="1080" w:type="dxa"/>
            <w:tcBorders>
              <w:top w:val="single" w:sz="4" w:space="0" w:color="auto"/>
              <w:left w:val="single" w:sz="4" w:space="0" w:color="auto"/>
              <w:bottom w:val="single" w:sz="4" w:space="0" w:color="auto"/>
              <w:right w:val="single" w:sz="4" w:space="0" w:color="auto"/>
            </w:tcBorders>
            <w:vAlign w:val="center"/>
            <w:hideMark/>
          </w:tcPr>
          <w:p w:rsidR="001E57DE" w:rsidRPr="00286323" w:rsidRDefault="001E57DE" w:rsidP="00F71D3B">
            <w:pPr>
              <w:widowControl w:val="0"/>
              <w:snapToGrid w:val="0"/>
              <w:spacing w:line="360" w:lineRule="auto"/>
              <w:jc w:val="center"/>
              <w:rPr>
                <w:rFonts w:asciiTheme="minorEastAsia" w:eastAsiaTheme="minorEastAsia" w:hAnsiTheme="minorEastAsia" w:cs="Arial Unicode MS"/>
                <w:color w:val="000000" w:themeColor="text1"/>
                <w:kern w:val="2"/>
              </w:rPr>
            </w:pPr>
            <w:r w:rsidRPr="00286323">
              <w:rPr>
                <w:rFonts w:asciiTheme="minorEastAsia" w:eastAsiaTheme="minorEastAsia" w:hAnsiTheme="minorEastAsia" w:hint="eastAsia"/>
                <w:color w:val="000000" w:themeColor="text1"/>
              </w:rPr>
              <w:t>净值增长率标准差（2）</w:t>
            </w:r>
          </w:p>
        </w:tc>
        <w:tc>
          <w:tcPr>
            <w:tcW w:w="1440" w:type="dxa"/>
            <w:tcBorders>
              <w:top w:val="single" w:sz="4" w:space="0" w:color="auto"/>
              <w:left w:val="single" w:sz="4" w:space="0" w:color="auto"/>
              <w:bottom w:val="single" w:sz="4" w:space="0" w:color="auto"/>
              <w:right w:val="single" w:sz="4" w:space="0" w:color="auto"/>
            </w:tcBorders>
            <w:vAlign w:val="center"/>
            <w:hideMark/>
          </w:tcPr>
          <w:p w:rsidR="001E57DE" w:rsidRPr="00286323" w:rsidRDefault="001E57DE" w:rsidP="00F71D3B">
            <w:pPr>
              <w:widowControl w:val="0"/>
              <w:snapToGrid w:val="0"/>
              <w:spacing w:line="360" w:lineRule="auto"/>
              <w:jc w:val="center"/>
              <w:rPr>
                <w:rFonts w:asciiTheme="minorEastAsia" w:eastAsiaTheme="minorEastAsia" w:hAnsiTheme="minorEastAsia" w:cs="Arial Unicode MS"/>
                <w:color w:val="000000" w:themeColor="text1"/>
                <w:kern w:val="2"/>
              </w:rPr>
            </w:pPr>
            <w:r w:rsidRPr="00286323">
              <w:rPr>
                <w:rFonts w:asciiTheme="minorEastAsia" w:eastAsiaTheme="minorEastAsia" w:hAnsiTheme="minorEastAsia" w:hint="eastAsia"/>
                <w:color w:val="000000" w:themeColor="text1"/>
              </w:rPr>
              <w:t>业绩比较基准收益率（3）</w:t>
            </w:r>
          </w:p>
        </w:tc>
        <w:tc>
          <w:tcPr>
            <w:tcW w:w="1440" w:type="dxa"/>
            <w:tcBorders>
              <w:top w:val="single" w:sz="4" w:space="0" w:color="auto"/>
              <w:left w:val="single" w:sz="4" w:space="0" w:color="auto"/>
              <w:bottom w:val="single" w:sz="4" w:space="0" w:color="auto"/>
              <w:right w:val="single" w:sz="4" w:space="0" w:color="auto"/>
            </w:tcBorders>
            <w:vAlign w:val="center"/>
            <w:hideMark/>
          </w:tcPr>
          <w:p w:rsidR="001E57DE" w:rsidRPr="00286323" w:rsidRDefault="001E57DE" w:rsidP="00F71D3B">
            <w:pPr>
              <w:widowControl w:val="0"/>
              <w:snapToGrid w:val="0"/>
              <w:spacing w:line="360" w:lineRule="auto"/>
              <w:jc w:val="center"/>
              <w:rPr>
                <w:rFonts w:asciiTheme="minorEastAsia" w:eastAsiaTheme="minorEastAsia" w:hAnsiTheme="minorEastAsia" w:cs="Arial Unicode MS"/>
                <w:color w:val="000000" w:themeColor="text1"/>
                <w:kern w:val="2"/>
              </w:rPr>
            </w:pPr>
            <w:r w:rsidRPr="00286323">
              <w:rPr>
                <w:rFonts w:asciiTheme="minorEastAsia" w:eastAsiaTheme="minorEastAsia" w:hAnsiTheme="minorEastAsia" w:hint="eastAsia"/>
                <w:color w:val="000000" w:themeColor="text1"/>
              </w:rPr>
              <w:t>业绩比较基准收益率标准差（4）</w:t>
            </w:r>
          </w:p>
        </w:tc>
        <w:tc>
          <w:tcPr>
            <w:tcW w:w="900" w:type="dxa"/>
            <w:tcBorders>
              <w:top w:val="single" w:sz="4" w:space="0" w:color="auto"/>
              <w:left w:val="single" w:sz="4" w:space="0" w:color="auto"/>
              <w:bottom w:val="single" w:sz="4" w:space="0" w:color="auto"/>
              <w:right w:val="single" w:sz="4" w:space="0" w:color="auto"/>
            </w:tcBorders>
            <w:vAlign w:val="center"/>
            <w:hideMark/>
          </w:tcPr>
          <w:p w:rsidR="001E57DE" w:rsidRPr="00286323" w:rsidRDefault="001E57DE" w:rsidP="00F71D3B">
            <w:pPr>
              <w:widowControl w:val="0"/>
              <w:snapToGrid w:val="0"/>
              <w:spacing w:line="360" w:lineRule="auto"/>
              <w:ind w:leftChars="-51" w:left="-107" w:rightChars="-51" w:right="-107"/>
              <w:jc w:val="center"/>
              <w:rPr>
                <w:rFonts w:asciiTheme="minorEastAsia" w:eastAsiaTheme="minorEastAsia" w:hAnsiTheme="minorEastAsia"/>
                <w:color w:val="000000" w:themeColor="text1"/>
                <w:kern w:val="2"/>
              </w:rPr>
            </w:pPr>
            <w:r w:rsidRPr="00286323">
              <w:rPr>
                <w:rFonts w:asciiTheme="minorEastAsia" w:eastAsiaTheme="minorEastAsia" w:hAnsiTheme="minorEastAsia" w:hint="eastAsia"/>
                <w:color w:val="000000" w:themeColor="text1"/>
              </w:rPr>
              <w:t>(1)-(3)</w:t>
            </w:r>
          </w:p>
        </w:tc>
        <w:tc>
          <w:tcPr>
            <w:tcW w:w="900" w:type="dxa"/>
            <w:tcBorders>
              <w:top w:val="single" w:sz="4" w:space="0" w:color="auto"/>
              <w:left w:val="single" w:sz="4" w:space="0" w:color="auto"/>
              <w:bottom w:val="single" w:sz="4" w:space="0" w:color="auto"/>
              <w:right w:val="single" w:sz="4" w:space="0" w:color="auto"/>
            </w:tcBorders>
            <w:vAlign w:val="center"/>
            <w:hideMark/>
          </w:tcPr>
          <w:p w:rsidR="001E57DE" w:rsidRPr="00286323" w:rsidRDefault="001E57DE" w:rsidP="00F71D3B">
            <w:pPr>
              <w:widowControl w:val="0"/>
              <w:snapToGrid w:val="0"/>
              <w:spacing w:line="360" w:lineRule="auto"/>
              <w:ind w:leftChars="-51" w:left="-107"/>
              <w:jc w:val="center"/>
              <w:rPr>
                <w:rFonts w:asciiTheme="minorEastAsia" w:eastAsiaTheme="minorEastAsia" w:hAnsiTheme="minorEastAsia"/>
                <w:color w:val="000000" w:themeColor="text1"/>
                <w:kern w:val="2"/>
              </w:rPr>
            </w:pPr>
            <w:r w:rsidRPr="00286323">
              <w:rPr>
                <w:rFonts w:asciiTheme="minorEastAsia" w:eastAsiaTheme="minorEastAsia" w:hAnsiTheme="minorEastAsia" w:hint="eastAsia"/>
                <w:color w:val="000000" w:themeColor="text1"/>
              </w:rPr>
              <w:t>(2)-(4)</w:t>
            </w:r>
          </w:p>
        </w:tc>
      </w:tr>
      <w:tr w:rsidR="00286323" w:rsidRPr="00286323">
        <w:tc>
          <w:tcPr>
            <w:tcW w:w="144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自基金合同生效日至2012年12月31日</w:t>
            </w:r>
          </w:p>
        </w:tc>
        <w:tc>
          <w:tcPr>
            <w:tcW w:w="108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11.30%</w:t>
            </w:r>
          </w:p>
        </w:tc>
        <w:tc>
          <w:tcPr>
            <w:tcW w:w="108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0.69%</w:t>
            </w:r>
          </w:p>
        </w:tc>
        <w:tc>
          <w:tcPr>
            <w:tcW w:w="144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2.07%</w:t>
            </w:r>
          </w:p>
        </w:tc>
        <w:tc>
          <w:tcPr>
            <w:tcW w:w="144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1.00%</w:t>
            </w:r>
          </w:p>
        </w:tc>
        <w:tc>
          <w:tcPr>
            <w:tcW w:w="90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9.23%</w:t>
            </w:r>
          </w:p>
        </w:tc>
        <w:tc>
          <w:tcPr>
            <w:tcW w:w="90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-0.31%</w:t>
            </w:r>
          </w:p>
        </w:tc>
      </w:tr>
      <w:tr w:rsidR="00286323" w:rsidRPr="00286323">
        <w:tc>
          <w:tcPr>
            <w:tcW w:w="144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2013年1月1日至2013年12月31日</w:t>
            </w:r>
          </w:p>
        </w:tc>
        <w:tc>
          <w:tcPr>
            <w:tcW w:w="108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-3.71%</w:t>
            </w:r>
          </w:p>
        </w:tc>
        <w:tc>
          <w:tcPr>
            <w:tcW w:w="108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1.31%</w:t>
            </w:r>
          </w:p>
        </w:tc>
        <w:tc>
          <w:tcPr>
            <w:tcW w:w="144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-7.07%</w:t>
            </w:r>
          </w:p>
        </w:tc>
        <w:tc>
          <w:tcPr>
            <w:tcW w:w="144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1.24%</w:t>
            </w:r>
          </w:p>
        </w:tc>
        <w:tc>
          <w:tcPr>
            <w:tcW w:w="90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3.36%</w:t>
            </w:r>
          </w:p>
        </w:tc>
        <w:tc>
          <w:tcPr>
            <w:tcW w:w="90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0.07%</w:t>
            </w:r>
          </w:p>
        </w:tc>
      </w:tr>
      <w:tr w:rsidR="00286323" w:rsidRPr="00286323">
        <w:tc>
          <w:tcPr>
            <w:tcW w:w="144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2014年1月1日至2014年12月31日</w:t>
            </w:r>
          </w:p>
        </w:tc>
        <w:tc>
          <w:tcPr>
            <w:tcW w:w="108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55.94%</w:t>
            </w:r>
          </w:p>
        </w:tc>
        <w:tc>
          <w:tcPr>
            <w:tcW w:w="108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1.12%</w:t>
            </w:r>
          </w:p>
        </w:tc>
        <w:tc>
          <w:tcPr>
            <w:tcW w:w="144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48.69%</w:t>
            </w:r>
          </w:p>
        </w:tc>
        <w:tc>
          <w:tcPr>
            <w:tcW w:w="144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1.15%</w:t>
            </w:r>
          </w:p>
        </w:tc>
        <w:tc>
          <w:tcPr>
            <w:tcW w:w="90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7.25%</w:t>
            </w:r>
          </w:p>
        </w:tc>
        <w:tc>
          <w:tcPr>
            <w:tcW w:w="90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-0.03%</w:t>
            </w:r>
          </w:p>
        </w:tc>
      </w:tr>
      <w:tr w:rsidR="00286323" w:rsidRPr="00286323">
        <w:tc>
          <w:tcPr>
            <w:tcW w:w="144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2015年1月1日至2015年12月31日</w:t>
            </w:r>
          </w:p>
        </w:tc>
        <w:tc>
          <w:tcPr>
            <w:tcW w:w="108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12.67%</w:t>
            </w:r>
          </w:p>
        </w:tc>
        <w:tc>
          <w:tcPr>
            <w:tcW w:w="108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2.45%</w:t>
            </w:r>
          </w:p>
        </w:tc>
        <w:tc>
          <w:tcPr>
            <w:tcW w:w="144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5.70%</w:t>
            </w:r>
          </w:p>
        </w:tc>
        <w:tc>
          <w:tcPr>
            <w:tcW w:w="144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2.36%</w:t>
            </w:r>
          </w:p>
        </w:tc>
        <w:tc>
          <w:tcPr>
            <w:tcW w:w="90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6.97%</w:t>
            </w:r>
          </w:p>
        </w:tc>
        <w:tc>
          <w:tcPr>
            <w:tcW w:w="90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0.09%</w:t>
            </w:r>
          </w:p>
        </w:tc>
      </w:tr>
      <w:tr w:rsidR="00286323" w:rsidRPr="00286323">
        <w:tc>
          <w:tcPr>
            <w:tcW w:w="144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2016年1月1日至2016年12月31日</w:t>
            </w:r>
          </w:p>
        </w:tc>
        <w:tc>
          <w:tcPr>
            <w:tcW w:w="108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-1.82%</w:t>
            </w:r>
          </w:p>
        </w:tc>
        <w:tc>
          <w:tcPr>
            <w:tcW w:w="108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1.38%</w:t>
            </w:r>
          </w:p>
        </w:tc>
        <w:tc>
          <w:tcPr>
            <w:tcW w:w="144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-10.63%</w:t>
            </w:r>
          </w:p>
        </w:tc>
        <w:tc>
          <w:tcPr>
            <w:tcW w:w="144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1.33%</w:t>
            </w:r>
          </w:p>
        </w:tc>
        <w:tc>
          <w:tcPr>
            <w:tcW w:w="90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8.81%</w:t>
            </w:r>
          </w:p>
        </w:tc>
        <w:tc>
          <w:tcPr>
            <w:tcW w:w="90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0.05%</w:t>
            </w:r>
          </w:p>
        </w:tc>
      </w:tr>
      <w:tr w:rsidR="00286323" w:rsidRPr="00286323">
        <w:tc>
          <w:tcPr>
            <w:tcW w:w="144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2017年1月1日至2017年12月31日</w:t>
            </w:r>
          </w:p>
        </w:tc>
        <w:tc>
          <w:tcPr>
            <w:tcW w:w="108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29.84%</w:t>
            </w:r>
          </w:p>
        </w:tc>
        <w:tc>
          <w:tcPr>
            <w:tcW w:w="108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0.61%</w:t>
            </w:r>
          </w:p>
        </w:tc>
        <w:tc>
          <w:tcPr>
            <w:tcW w:w="144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20.63%</w:t>
            </w:r>
          </w:p>
        </w:tc>
        <w:tc>
          <w:tcPr>
            <w:tcW w:w="144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0.60%</w:t>
            </w:r>
          </w:p>
        </w:tc>
        <w:tc>
          <w:tcPr>
            <w:tcW w:w="90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9.21%</w:t>
            </w:r>
          </w:p>
        </w:tc>
        <w:tc>
          <w:tcPr>
            <w:tcW w:w="90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0.01%</w:t>
            </w:r>
          </w:p>
        </w:tc>
      </w:tr>
      <w:tr w:rsidR="00286323" w:rsidRPr="00286323">
        <w:tc>
          <w:tcPr>
            <w:tcW w:w="144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2018年1月1日至2018年12月31日</w:t>
            </w:r>
          </w:p>
        </w:tc>
        <w:tc>
          <w:tcPr>
            <w:tcW w:w="108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-23.16%</w:t>
            </w:r>
          </w:p>
        </w:tc>
        <w:tc>
          <w:tcPr>
            <w:tcW w:w="108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1.24%</w:t>
            </w:r>
          </w:p>
        </w:tc>
        <w:tc>
          <w:tcPr>
            <w:tcW w:w="144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-24.12%</w:t>
            </w:r>
          </w:p>
        </w:tc>
        <w:tc>
          <w:tcPr>
            <w:tcW w:w="144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1.27%</w:t>
            </w:r>
          </w:p>
        </w:tc>
        <w:tc>
          <w:tcPr>
            <w:tcW w:w="90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0.96%</w:t>
            </w:r>
          </w:p>
        </w:tc>
        <w:tc>
          <w:tcPr>
            <w:tcW w:w="90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-0.03%</w:t>
            </w:r>
          </w:p>
        </w:tc>
      </w:tr>
      <w:tr w:rsidR="00286323" w:rsidRPr="00286323">
        <w:tc>
          <w:tcPr>
            <w:tcW w:w="144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2019年1月1日至2019年12月31日</w:t>
            </w:r>
          </w:p>
        </w:tc>
        <w:tc>
          <w:tcPr>
            <w:tcW w:w="108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37.28%</w:t>
            </w:r>
          </w:p>
        </w:tc>
        <w:tc>
          <w:tcPr>
            <w:tcW w:w="108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1.18%</w:t>
            </w:r>
          </w:p>
        </w:tc>
        <w:tc>
          <w:tcPr>
            <w:tcW w:w="144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34.14%</w:t>
            </w:r>
          </w:p>
        </w:tc>
        <w:tc>
          <w:tcPr>
            <w:tcW w:w="144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1.18%</w:t>
            </w:r>
          </w:p>
        </w:tc>
        <w:tc>
          <w:tcPr>
            <w:tcW w:w="90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3.14%</w:t>
            </w:r>
          </w:p>
        </w:tc>
        <w:tc>
          <w:tcPr>
            <w:tcW w:w="90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0.00%</w:t>
            </w:r>
          </w:p>
        </w:tc>
      </w:tr>
      <w:tr w:rsidR="00286323" w:rsidRPr="00286323">
        <w:tc>
          <w:tcPr>
            <w:tcW w:w="144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2020年1月1日至2020年12月31日</w:t>
            </w:r>
          </w:p>
        </w:tc>
        <w:tc>
          <w:tcPr>
            <w:tcW w:w="108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34.27%</w:t>
            </w:r>
          </w:p>
        </w:tc>
        <w:tc>
          <w:tcPr>
            <w:tcW w:w="108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1.34%</w:t>
            </w:r>
          </w:p>
        </w:tc>
        <w:tc>
          <w:tcPr>
            <w:tcW w:w="144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25.86%</w:t>
            </w:r>
          </w:p>
        </w:tc>
        <w:tc>
          <w:tcPr>
            <w:tcW w:w="144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1.36%</w:t>
            </w:r>
          </w:p>
        </w:tc>
        <w:tc>
          <w:tcPr>
            <w:tcW w:w="90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8.41%</w:t>
            </w:r>
          </w:p>
        </w:tc>
        <w:tc>
          <w:tcPr>
            <w:tcW w:w="90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-0.02%</w:t>
            </w:r>
          </w:p>
        </w:tc>
      </w:tr>
      <w:tr w:rsidR="00286323" w:rsidRPr="00286323">
        <w:tc>
          <w:tcPr>
            <w:tcW w:w="144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自基金合同生效日至</w:t>
            </w:r>
            <w:r w:rsidRPr="00286323">
              <w:rPr>
                <w:rFonts w:asciiTheme="minorEastAsia" w:eastAsiaTheme="minorEastAsia" w:hAnsiTheme="minorEastAsia"/>
                <w:color w:val="000000" w:themeColor="text1"/>
              </w:rPr>
              <w:lastRenderedPageBreak/>
              <w:t>2020年12月31日</w:t>
            </w:r>
          </w:p>
        </w:tc>
        <w:tc>
          <w:tcPr>
            <w:tcW w:w="108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lastRenderedPageBreak/>
              <w:t>239.99%</w:t>
            </w:r>
          </w:p>
        </w:tc>
        <w:tc>
          <w:tcPr>
            <w:tcW w:w="108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1.38%</w:t>
            </w:r>
          </w:p>
        </w:tc>
        <w:tc>
          <w:tcPr>
            <w:tcW w:w="144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105.90%</w:t>
            </w:r>
          </w:p>
        </w:tc>
        <w:tc>
          <w:tcPr>
            <w:tcW w:w="144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1.37%</w:t>
            </w:r>
          </w:p>
        </w:tc>
        <w:tc>
          <w:tcPr>
            <w:tcW w:w="90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134.09%</w:t>
            </w:r>
          </w:p>
        </w:tc>
        <w:tc>
          <w:tcPr>
            <w:tcW w:w="900" w:type="dxa"/>
          </w:tcPr>
          <w:p w:rsidR="00AD20B7" w:rsidRPr="00286323" w:rsidRDefault="00750911">
            <w:pPr>
              <w:jc w:val="cente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0.01%</w:t>
            </w:r>
          </w:p>
        </w:tc>
      </w:tr>
    </w:tbl>
    <w:p w:rsidR="0000645E" w:rsidRPr="00286323" w:rsidRDefault="0000645E" w:rsidP="0000645E">
      <w:pPr>
        <w:pStyle w:val="af1"/>
        <w:adjustRightInd w:val="0"/>
        <w:spacing w:line="348" w:lineRule="auto"/>
        <w:ind w:firstLine="420"/>
        <w:textAlignment w:val="baseline"/>
        <w:rPr>
          <w:rFonts w:asciiTheme="minorEastAsia" w:eastAsiaTheme="minorEastAsia" w:hAnsiTheme="minorEastAsia" w:cs="宋体"/>
          <w:color w:val="000000" w:themeColor="text1"/>
          <w:kern w:val="0"/>
        </w:rPr>
      </w:pPr>
      <w:r w:rsidRPr="00286323">
        <w:rPr>
          <w:rFonts w:asciiTheme="minorEastAsia" w:eastAsiaTheme="minorEastAsia" w:hAnsiTheme="minorEastAsia" w:cs="宋体" w:hint="eastAsia"/>
          <w:color w:val="000000" w:themeColor="text1"/>
          <w:kern w:val="0"/>
        </w:rPr>
        <w:t>本基金历任基金经理情况：刘震，管理时间为2012年7月5日至2013年1月7日；罗山，管理时间为2013年1月8日至2016年10月18日；官泽帆，管理时间为2016年9月24日至2021年9月3日；黄健生，管理时间为2020年3月12日至2021年9月3日。</w:t>
      </w:r>
    </w:p>
    <w:p w:rsidR="005E291A" w:rsidRPr="00286323" w:rsidRDefault="002A37F0">
      <w:pPr>
        <w:spacing w:line="360" w:lineRule="auto"/>
        <w:ind w:firstLine="420"/>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br/>
      </w:r>
    </w:p>
    <w:p w:rsidR="008127B2" w:rsidRPr="00286323" w:rsidRDefault="001E57DE"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注：</w:t>
      </w:r>
      <w:r w:rsidR="00B73A84" w:rsidRPr="00286323">
        <w:rPr>
          <w:rFonts w:asciiTheme="minorEastAsia" w:eastAsiaTheme="minorEastAsia" w:hAnsiTheme="minorEastAsia" w:hint="eastAsia"/>
          <w:color w:val="000000" w:themeColor="text1"/>
        </w:rPr>
        <w:t>1、</w:t>
      </w:r>
      <w:r w:rsidR="008127B2" w:rsidRPr="00286323">
        <w:rPr>
          <w:rFonts w:asciiTheme="minorEastAsia" w:eastAsiaTheme="minorEastAsia" w:hAnsiTheme="minorEastAsia" w:hint="eastAsia"/>
          <w:color w:val="000000" w:themeColor="text1"/>
        </w:rPr>
        <w:t>根据中国证监会2013年6月7日下发的《关于核准易方达量化衍伸股票型证券投资基金基金份额持有人大会决议的批复》（证监许可[2013]742号），易方达量化衍伸股票型证券投资基金自2013年6月7日起变更为易方达沪深300量化增强证券投资基金，修改基金合同中基金的名称、投资目标、投资范围、投资策略、业绩比较基准、基金的费用、基金份额持有人大会、基金的信息披露等条款。修订后的《易方达沪深300量化增强证券投资基金基金合同》于2013年6月7日生效。</w:t>
      </w:r>
    </w:p>
    <w:p w:rsidR="00D75CA1" w:rsidRPr="00286323" w:rsidRDefault="00B73A84"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w:t>
      </w:r>
      <w:r w:rsidR="001E57DE" w:rsidRPr="00286323">
        <w:rPr>
          <w:rFonts w:asciiTheme="minorEastAsia" w:eastAsiaTheme="minorEastAsia" w:hAnsiTheme="minorEastAsia" w:hint="eastAsia"/>
          <w:color w:val="000000" w:themeColor="text1"/>
        </w:rPr>
        <w:t>根据《易方达沪深300量化增强证券投资基金基金合同》，业绩比较基准自2013年6月7日起，由“沪深300指数收益率×80%+活期存款利率（税后）×20%”变更为“沪深300指数收益率×95%+活期存款利率（税后）×5%”；基金业绩比较基准收益率在变更前后分别根据相应的指标计算。</w:t>
      </w:r>
    </w:p>
    <w:p w:rsidR="001A7CDB" w:rsidRPr="00286323" w:rsidRDefault="001A7CDB" w:rsidP="00F71D3B">
      <w:pPr>
        <w:pStyle w:val="11"/>
        <w:numPr>
          <w:ilvl w:val="0"/>
          <w:numId w:val="9"/>
        </w:numPr>
        <w:snapToGrid w:val="0"/>
        <w:spacing w:beforeLines="0" w:afterLines="0" w:line="360" w:lineRule="auto"/>
        <w:ind w:firstLineChars="0"/>
        <w:rPr>
          <w:rFonts w:asciiTheme="minorEastAsia" w:eastAsiaTheme="minorEastAsia" w:hAnsiTheme="minorEastAsia" w:cs="Arial"/>
          <w:bCs/>
          <w:color w:val="000000" w:themeColor="text1"/>
        </w:rPr>
      </w:pPr>
      <w:bookmarkStart w:id="90" w:name="_Toc81922647"/>
      <w:r w:rsidRPr="00286323">
        <w:rPr>
          <w:rFonts w:asciiTheme="minorEastAsia" w:eastAsiaTheme="minorEastAsia" w:hAnsiTheme="minorEastAsia" w:cs="Arial" w:hint="eastAsia"/>
          <w:bCs/>
          <w:color w:val="000000" w:themeColor="text1"/>
        </w:rPr>
        <w:lastRenderedPageBreak/>
        <w:t>基金的财产</w:t>
      </w:r>
      <w:bookmarkEnd w:id="90"/>
    </w:p>
    <w:p w:rsidR="001A7CDB" w:rsidRPr="00286323" w:rsidRDefault="001A7CDB" w:rsidP="00F71D3B">
      <w:pPr>
        <w:pStyle w:val="20"/>
        <w:numPr>
          <w:ilvl w:val="0"/>
          <w:numId w:val="18"/>
        </w:numPr>
        <w:snapToGrid w:val="0"/>
        <w:spacing w:beforeLines="0" w:afterLines="0" w:line="360" w:lineRule="auto"/>
        <w:ind w:left="0" w:firstLineChars="0" w:firstLine="0"/>
        <w:rPr>
          <w:rFonts w:asciiTheme="minorEastAsia" w:eastAsiaTheme="minorEastAsia" w:hAnsiTheme="minorEastAsia" w:cs="Arial"/>
          <w:b w:val="0"/>
          <w:color w:val="000000" w:themeColor="text1"/>
        </w:rPr>
      </w:pPr>
      <w:r w:rsidRPr="00286323">
        <w:rPr>
          <w:rFonts w:asciiTheme="minorEastAsia" w:eastAsiaTheme="minorEastAsia" w:hAnsiTheme="minorEastAsia" w:cs="Arial"/>
          <w:b w:val="0"/>
          <w:color w:val="000000" w:themeColor="text1"/>
        </w:rPr>
        <w:t>基金资产总值</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基金资产总值是指购买的各类证券及票据价值、银行存款本息和基金应收的申购基金款以及其他投资所形成的价值总和。</w:t>
      </w:r>
    </w:p>
    <w:p w:rsidR="001A7CDB" w:rsidRPr="00286323" w:rsidRDefault="001A7CDB" w:rsidP="00F71D3B">
      <w:pPr>
        <w:pStyle w:val="20"/>
        <w:numPr>
          <w:ilvl w:val="0"/>
          <w:numId w:val="18"/>
        </w:numPr>
        <w:snapToGrid w:val="0"/>
        <w:spacing w:beforeLines="0" w:afterLines="0" w:line="360" w:lineRule="auto"/>
        <w:ind w:left="0" w:firstLineChars="0" w:firstLine="0"/>
        <w:rPr>
          <w:rFonts w:asciiTheme="minorEastAsia" w:eastAsiaTheme="minorEastAsia" w:hAnsiTheme="minorEastAsia" w:cs="Arial"/>
          <w:b w:val="0"/>
          <w:color w:val="000000" w:themeColor="text1"/>
        </w:rPr>
      </w:pPr>
      <w:r w:rsidRPr="00286323">
        <w:rPr>
          <w:rFonts w:asciiTheme="minorEastAsia" w:eastAsiaTheme="minorEastAsia" w:hAnsiTheme="minorEastAsia" w:cs="Arial"/>
          <w:b w:val="0"/>
          <w:color w:val="000000" w:themeColor="text1"/>
        </w:rPr>
        <w:t>基金资产净值</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基金资产净值是指基金资产总值减去基金负债后的价值。</w:t>
      </w:r>
    </w:p>
    <w:p w:rsidR="001A7CDB" w:rsidRPr="00286323" w:rsidRDefault="001A7CDB" w:rsidP="00F71D3B">
      <w:pPr>
        <w:pStyle w:val="20"/>
        <w:numPr>
          <w:ilvl w:val="0"/>
          <w:numId w:val="18"/>
        </w:numPr>
        <w:snapToGrid w:val="0"/>
        <w:spacing w:beforeLines="0" w:afterLines="0" w:line="360" w:lineRule="auto"/>
        <w:ind w:left="0" w:firstLineChars="0" w:firstLine="0"/>
        <w:rPr>
          <w:rFonts w:asciiTheme="minorEastAsia" w:eastAsiaTheme="minorEastAsia" w:hAnsiTheme="minorEastAsia" w:cs="Arial"/>
          <w:b w:val="0"/>
          <w:color w:val="000000" w:themeColor="text1"/>
        </w:rPr>
      </w:pPr>
      <w:r w:rsidRPr="00286323">
        <w:rPr>
          <w:rFonts w:asciiTheme="minorEastAsia" w:eastAsiaTheme="minorEastAsia" w:hAnsiTheme="minorEastAsia" w:cs="Arial"/>
          <w:b w:val="0"/>
          <w:color w:val="000000" w:themeColor="text1"/>
        </w:rPr>
        <w:t>基金财产的账户</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基金托管人根据相关法律法规、规范性文件为本基金开立资金账户、证券账户以及投资所需的其他专用账户。开立的基金专用账户与基金管理人、基金托管人、基金销售机构和基金注册登记机构自有的财产账户以及其他基金财产账户相独立。</w:t>
      </w:r>
    </w:p>
    <w:p w:rsidR="001A7CDB" w:rsidRPr="00286323" w:rsidRDefault="001A7CDB" w:rsidP="00F71D3B">
      <w:pPr>
        <w:pStyle w:val="20"/>
        <w:numPr>
          <w:ilvl w:val="0"/>
          <w:numId w:val="18"/>
        </w:numPr>
        <w:snapToGrid w:val="0"/>
        <w:spacing w:beforeLines="0" w:afterLines="0" w:line="360" w:lineRule="auto"/>
        <w:ind w:left="0" w:firstLineChars="0" w:firstLine="0"/>
        <w:rPr>
          <w:rFonts w:asciiTheme="minorEastAsia" w:eastAsiaTheme="minorEastAsia" w:hAnsiTheme="minorEastAsia" w:cs="Arial"/>
          <w:b w:val="0"/>
          <w:color w:val="000000" w:themeColor="text1"/>
        </w:rPr>
      </w:pPr>
      <w:r w:rsidRPr="00286323">
        <w:rPr>
          <w:rFonts w:asciiTheme="minorEastAsia" w:eastAsiaTheme="minorEastAsia" w:hAnsiTheme="minorEastAsia" w:cs="Arial"/>
          <w:b w:val="0"/>
          <w:color w:val="000000" w:themeColor="text1"/>
        </w:rPr>
        <w:t>基金财产的保管及处分</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本基金财产独立于基金管理人、基金托管人和基金</w:t>
      </w:r>
      <w:r w:rsidRPr="00286323">
        <w:rPr>
          <w:rFonts w:asciiTheme="minorEastAsia" w:eastAsiaTheme="minorEastAsia" w:hAnsiTheme="minorEastAsia" w:hint="eastAsia"/>
          <w:bCs/>
          <w:color w:val="000000" w:themeColor="text1"/>
        </w:rPr>
        <w:t>销售</w:t>
      </w:r>
      <w:r w:rsidRPr="00286323">
        <w:rPr>
          <w:rFonts w:asciiTheme="minorEastAsia" w:eastAsiaTheme="minorEastAsia" w:hAnsiTheme="minorEastAsia"/>
          <w:bCs/>
          <w:color w:val="000000" w:themeColor="text1"/>
        </w:rPr>
        <w:t>机构的财产，并由基金托管人保管。基金管理人、基金托管人、基金注册登记机构和基金销售机构以其自有的财产承担其自身的法律责任，其债权人不得对本基金财产行使请求冻结、扣押或其他权利。除依法律法规和《基金合同》的规定处分外，基金财产不得被处分。</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bCs/>
          <w:color w:val="000000" w:themeColor="text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1A7CDB" w:rsidRPr="00286323" w:rsidRDefault="001A7CDB" w:rsidP="00F71D3B">
      <w:pPr>
        <w:pStyle w:val="11"/>
        <w:numPr>
          <w:ilvl w:val="0"/>
          <w:numId w:val="9"/>
        </w:numPr>
        <w:snapToGrid w:val="0"/>
        <w:spacing w:beforeLines="0" w:afterLines="0" w:line="360" w:lineRule="auto"/>
        <w:ind w:firstLineChars="0"/>
        <w:rPr>
          <w:rFonts w:asciiTheme="minorEastAsia" w:eastAsiaTheme="minorEastAsia" w:hAnsiTheme="minorEastAsia" w:cs="Arial"/>
          <w:bCs/>
          <w:color w:val="000000" w:themeColor="text1"/>
        </w:rPr>
      </w:pPr>
      <w:bookmarkStart w:id="91" w:name="_Toc81922648"/>
      <w:r w:rsidRPr="00286323">
        <w:rPr>
          <w:rFonts w:asciiTheme="minorEastAsia" w:eastAsiaTheme="minorEastAsia" w:hAnsiTheme="minorEastAsia" w:cs="Arial" w:hint="eastAsia"/>
          <w:bCs/>
          <w:color w:val="000000" w:themeColor="text1"/>
        </w:rPr>
        <w:lastRenderedPageBreak/>
        <w:t>基金资产估值</w:t>
      </w:r>
      <w:bookmarkEnd w:id="91"/>
    </w:p>
    <w:p w:rsidR="001A7CDB" w:rsidRPr="00286323" w:rsidRDefault="001A7CDB" w:rsidP="00F71D3B">
      <w:pPr>
        <w:pStyle w:val="20"/>
        <w:numPr>
          <w:ilvl w:val="0"/>
          <w:numId w:val="19"/>
        </w:numPr>
        <w:snapToGrid w:val="0"/>
        <w:spacing w:beforeLines="0" w:afterLines="0" w:line="360" w:lineRule="auto"/>
        <w:ind w:left="0" w:firstLineChars="0" w:firstLine="0"/>
        <w:rPr>
          <w:rFonts w:asciiTheme="minorEastAsia" w:eastAsiaTheme="minorEastAsia" w:hAnsiTheme="minorEastAsia" w:cs="Arial"/>
          <w:b w:val="0"/>
          <w:color w:val="000000" w:themeColor="text1"/>
        </w:rPr>
      </w:pPr>
      <w:bookmarkStart w:id="92" w:name="_Toc44229106"/>
      <w:bookmarkStart w:id="93" w:name="_Toc44229201"/>
      <w:bookmarkStart w:id="94" w:name="_Toc44229107"/>
      <w:bookmarkStart w:id="95" w:name="_Toc44229202"/>
      <w:bookmarkStart w:id="96" w:name="_Toc44229108"/>
      <w:bookmarkStart w:id="97" w:name="_Toc44229203"/>
      <w:bookmarkStart w:id="98" w:name="_Toc44229109"/>
      <w:bookmarkStart w:id="99" w:name="_Toc44229204"/>
      <w:bookmarkStart w:id="100" w:name="_Toc44229110"/>
      <w:bookmarkStart w:id="101" w:name="_Toc44229205"/>
      <w:bookmarkStart w:id="102" w:name="_Toc44229111"/>
      <w:bookmarkStart w:id="103" w:name="_Toc44229206"/>
      <w:bookmarkStart w:id="104" w:name="_Toc44229112"/>
      <w:bookmarkStart w:id="105" w:name="_Toc44229207"/>
      <w:bookmarkStart w:id="106" w:name="_Toc44229113"/>
      <w:bookmarkStart w:id="107" w:name="_Toc44229208"/>
      <w:bookmarkStart w:id="108" w:name="_Toc97031289"/>
      <w:bookmarkStart w:id="109" w:name="_Toc97107249"/>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286323">
        <w:rPr>
          <w:rFonts w:asciiTheme="minorEastAsia" w:eastAsiaTheme="minorEastAsia" w:hAnsiTheme="minorEastAsia" w:cs="Arial"/>
          <w:b w:val="0"/>
          <w:color w:val="000000" w:themeColor="text1"/>
        </w:rPr>
        <w:t>估值目的</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基金估值的目的是为了准确、真实地反映基金相关金融资产和金融负债的公允价值。开放式基金份额申购、赎回价格应按基金估值后确定的基金份额净值计算。</w:t>
      </w:r>
    </w:p>
    <w:p w:rsidR="001A7CDB" w:rsidRPr="00286323" w:rsidRDefault="001A7CDB" w:rsidP="00F71D3B">
      <w:pPr>
        <w:pStyle w:val="20"/>
        <w:numPr>
          <w:ilvl w:val="0"/>
          <w:numId w:val="19"/>
        </w:numPr>
        <w:snapToGrid w:val="0"/>
        <w:spacing w:beforeLines="0" w:afterLines="0" w:line="360" w:lineRule="auto"/>
        <w:ind w:left="0" w:firstLineChars="0" w:firstLine="0"/>
        <w:rPr>
          <w:rFonts w:asciiTheme="minorEastAsia" w:eastAsiaTheme="minorEastAsia" w:hAnsiTheme="minorEastAsia" w:cs="Arial"/>
          <w:b w:val="0"/>
          <w:color w:val="000000" w:themeColor="text1"/>
        </w:rPr>
      </w:pPr>
      <w:r w:rsidRPr="00286323">
        <w:rPr>
          <w:rFonts w:asciiTheme="minorEastAsia" w:eastAsiaTheme="minorEastAsia" w:hAnsiTheme="minorEastAsia" w:cs="Arial"/>
          <w:b w:val="0"/>
          <w:color w:val="000000" w:themeColor="text1"/>
        </w:rPr>
        <w:t>估值日</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本基金的估值日为本基金相关的证券交易场所的交易日以及国家法律法规规定需要对外披露基金净值的非交易日。</w:t>
      </w:r>
    </w:p>
    <w:p w:rsidR="001A7CDB" w:rsidRPr="00286323" w:rsidRDefault="001A7CDB" w:rsidP="00F71D3B">
      <w:pPr>
        <w:pStyle w:val="20"/>
        <w:numPr>
          <w:ilvl w:val="0"/>
          <w:numId w:val="19"/>
        </w:numPr>
        <w:snapToGrid w:val="0"/>
        <w:spacing w:beforeLines="0" w:afterLines="0" w:line="360" w:lineRule="auto"/>
        <w:ind w:left="0" w:firstLineChars="0" w:firstLine="0"/>
        <w:rPr>
          <w:rFonts w:asciiTheme="minorEastAsia" w:eastAsiaTheme="minorEastAsia" w:hAnsiTheme="minorEastAsia" w:cs="Arial"/>
          <w:b w:val="0"/>
          <w:color w:val="000000" w:themeColor="text1"/>
        </w:rPr>
      </w:pPr>
      <w:r w:rsidRPr="00286323">
        <w:rPr>
          <w:rFonts w:asciiTheme="minorEastAsia" w:eastAsiaTheme="minorEastAsia" w:hAnsiTheme="minorEastAsia" w:cs="Arial"/>
          <w:b w:val="0"/>
          <w:color w:val="000000" w:themeColor="text1"/>
        </w:rPr>
        <w:t>估值对象</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基金所拥有的股票、权证、债券和银行存款本息、应收款项、其它投资等资产及负债。</w:t>
      </w:r>
    </w:p>
    <w:p w:rsidR="001A7CDB" w:rsidRPr="00286323" w:rsidRDefault="001A7CDB" w:rsidP="00F71D3B">
      <w:pPr>
        <w:pStyle w:val="20"/>
        <w:numPr>
          <w:ilvl w:val="0"/>
          <w:numId w:val="19"/>
        </w:numPr>
        <w:snapToGrid w:val="0"/>
        <w:spacing w:beforeLines="0" w:afterLines="0" w:line="360" w:lineRule="auto"/>
        <w:ind w:left="0" w:firstLineChars="0" w:firstLine="0"/>
        <w:rPr>
          <w:rFonts w:asciiTheme="minorEastAsia" w:eastAsiaTheme="minorEastAsia" w:hAnsiTheme="minorEastAsia" w:cs="Arial"/>
          <w:b w:val="0"/>
          <w:color w:val="000000" w:themeColor="text1"/>
        </w:rPr>
      </w:pPr>
      <w:r w:rsidRPr="00286323">
        <w:rPr>
          <w:rFonts w:asciiTheme="minorEastAsia" w:eastAsiaTheme="minorEastAsia" w:hAnsiTheme="minorEastAsia" w:cs="Arial"/>
          <w:b w:val="0"/>
          <w:color w:val="000000" w:themeColor="text1"/>
        </w:rPr>
        <w:t>估值方法</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本基金按以下方式进行估值：</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w:t>
      </w:r>
      <w:r w:rsidRPr="00286323">
        <w:rPr>
          <w:rFonts w:asciiTheme="minorEastAsia" w:eastAsiaTheme="minorEastAsia" w:hAnsiTheme="minorEastAsia" w:cs="Arial" w:hint="eastAsia"/>
          <w:color w:val="000000" w:themeColor="text1"/>
        </w:rPr>
        <w:t>、</w:t>
      </w:r>
      <w:r w:rsidRPr="00286323">
        <w:rPr>
          <w:rFonts w:asciiTheme="minorEastAsia" w:eastAsiaTheme="minorEastAsia" w:hAnsiTheme="minorEastAsia" w:cs="Arial"/>
          <w:color w:val="000000" w:themeColor="text1"/>
        </w:rPr>
        <w:t>证券交易所上市的有价证券的估值</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（4）交易所上市不存在活跃市场的有价证券，采用估值技术确定公允价值。交易所上市的资产支持证券，采用估值技术确定公允价值，在估值技术难以可靠计量公允价值的情况下，按成本估值。</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2</w:t>
      </w:r>
      <w:r w:rsidRPr="00286323">
        <w:rPr>
          <w:rFonts w:asciiTheme="minorEastAsia" w:eastAsiaTheme="minorEastAsia" w:hAnsiTheme="minorEastAsia" w:cs="Arial" w:hint="eastAsia"/>
          <w:color w:val="000000" w:themeColor="text1"/>
        </w:rPr>
        <w:t>、</w:t>
      </w:r>
      <w:r w:rsidRPr="00286323">
        <w:rPr>
          <w:rFonts w:asciiTheme="minorEastAsia" w:eastAsiaTheme="minorEastAsia" w:hAnsiTheme="minorEastAsia" w:cs="Arial"/>
          <w:color w:val="000000" w:themeColor="text1"/>
        </w:rPr>
        <w:t>处于未上市期间的有价证券应区分如下情况处理：</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（1）送股、转增股、配股和公开增发的新股，按估值日在证券交易所挂牌的同一股票的估值方法估值；该日无交易的，以最近一日的市价（收盘价）估值；</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lastRenderedPageBreak/>
        <w:t>（2）首次公开发行未上市的股票、债券和权证，采用估值技术确定公允价值，在估值技术难以可靠计量公允价值的情况下，按成本估值；</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（3）首次公开发行有明确锁定期的股票，同一股票在交易所上市后，按交易所上市的同一股票的估值方法估值；非公开发行有明确锁定期的股票，按监管机构或行业协会有关规定确定公允价值。</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3、全国银行间债券市场交易的债券、资产支持证券等固定收益品种，采用估值技术确定公允价值。</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4、同一债券同时在两个或两个以上市场交易的，按债券所处的市场分别估值。</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5、因持有股票而享有的配股权，以及停止交易、但未行权的权证，采用估值技术确定公允价值。</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6、股指期货合约按照估值当日的结算价进行估值。估值当日无结算价，且最近交易日后经济环境未发生重大变化的，采用最近交易日结算价估值。</w:t>
      </w:r>
    </w:p>
    <w:p w:rsidR="00F76EEB" w:rsidRPr="00286323" w:rsidRDefault="001A7CDB" w:rsidP="00F76EE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7、</w:t>
      </w:r>
      <w:r w:rsidR="00F76EEB" w:rsidRPr="00286323">
        <w:rPr>
          <w:rFonts w:asciiTheme="minorEastAsia" w:eastAsiaTheme="minorEastAsia" w:hAnsiTheme="minorEastAsia" w:cs="Arial" w:hint="eastAsia"/>
          <w:color w:val="000000" w:themeColor="text1"/>
        </w:rPr>
        <w:t>本基金投资存托凭证的估值核算，依照境内上市交易的股票执行。</w:t>
      </w:r>
    </w:p>
    <w:p w:rsidR="001A7CDB" w:rsidRPr="00286323" w:rsidRDefault="00F76EEB" w:rsidP="00F76EE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8、</w:t>
      </w:r>
      <w:r w:rsidR="001A7CDB" w:rsidRPr="00286323">
        <w:rPr>
          <w:rFonts w:asciiTheme="minorEastAsia" w:eastAsiaTheme="minorEastAsia" w:hAnsiTheme="minorEastAsia" w:cs="Arial" w:hint="eastAsia"/>
          <w:color w:val="000000" w:themeColor="text1"/>
        </w:rPr>
        <w:t>如有确凿证据表明按上述方法进行估值不能客观反映其公允价值的，基金管理人可根据具体情况与基金托管人商定后，按最能反映公允价值的价格估值。</w:t>
      </w:r>
    </w:p>
    <w:p w:rsidR="001A7CDB" w:rsidRPr="00286323" w:rsidRDefault="00F76EE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9</w:t>
      </w:r>
      <w:r w:rsidR="001A7CDB" w:rsidRPr="00286323">
        <w:rPr>
          <w:rFonts w:asciiTheme="minorEastAsia" w:eastAsiaTheme="minorEastAsia" w:hAnsiTheme="minorEastAsia" w:cs="Arial" w:hint="eastAsia"/>
          <w:color w:val="000000" w:themeColor="text1"/>
        </w:rPr>
        <w:t>、相关法律法规以及监管部门有强制规定的，从其规定。如有新增事项，按国家最新规定估值。</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如基金管理人或基金托管人发现基金估值违反基金合同订明的估值方法、程序及相关法律法规的规定或者未能充分维护基金份额持有人利益时，应立即通知对方，共同查明原因，双方协商解决。</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1A7CDB" w:rsidRPr="00286323" w:rsidRDefault="001A7CDB" w:rsidP="00F71D3B">
      <w:pPr>
        <w:pStyle w:val="20"/>
        <w:numPr>
          <w:ilvl w:val="0"/>
          <w:numId w:val="19"/>
        </w:numPr>
        <w:snapToGrid w:val="0"/>
        <w:spacing w:beforeLines="0" w:afterLines="0" w:line="360" w:lineRule="auto"/>
        <w:ind w:left="0" w:firstLineChars="0" w:firstLine="0"/>
        <w:rPr>
          <w:rFonts w:asciiTheme="minorEastAsia" w:eastAsiaTheme="minorEastAsia" w:hAnsiTheme="minorEastAsia" w:cs="Arial"/>
          <w:b w:val="0"/>
          <w:color w:val="000000" w:themeColor="text1"/>
        </w:rPr>
      </w:pPr>
      <w:r w:rsidRPr="00286323">
        <w:rPr>
          <w:rFonts w:asciiTheme="minorEastAsia" w:eastAsiaTheme="minorEastAsia" w:hAnsiTheme="minorEastAsia" w:cs="Arial"/>
          <w:b w:val="0"/>
          <w:color w:val="000000" w:themeColor="text1"/>
        </w:rPr>
        <w:t>估值程序</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1、基金份额净值是按照每个工作日闭市后，基金资产净值除以当日基金份额的余额数量计算，精确到</w:t>
      </w:r>
      <w:r w:rsidRPr="00286323">
        <w:rPr>
          <w:rFonts w:asciiTheme="minorEastAsia" w:eastAsiaTheme="minorEastAsia" w:hAnsiTheme="minorEastAsia" w:hint="eastAsia"/>
          <w:bCs/>
          <w:color w:val="000000" w:themeColor="text1"/>
        </w:rPr>
        <w:t>0.00</w:t>
      </w:r>
      <w:r w:rsidR="00D92242" w:rsidRPr="00286323">
        <w:rPr>
          <w:rFonts w:asciiTheme="minorEastAsia" w:eastAsiaTheme="minorEastAsia" w:hAnsiTheme="minorEastAsia" w:hint="eastAsia"/>
          <w:bCs/>
          <w:color w:val="000000" w:themeColor="text1"/>
        </w:rPr>
        <w:t>0</w:t>
      </w:r>
      <w:r w:rsidRPr="00286323">
        <w:rPr>
          <w:rFonts w:asciiTheme="minorEastAsia" w:eastAsiaTheme="minorEastAsia" w:hAnsiTheme="minorEastAsia" w:hint="eastAsia"/>
          <w:bCs/>
          <w:color w:val="000000" w:themeColor="text1"/>
        </w:rPr>
        <w:t>1</w:t>
      </w:r>
      <w:r w:rsidRPr="00286323">
        <w:rPr>
          <w:rFonts w:asciiTheme="minorEastAsia" w:eastAsiaTheme="minorEastAsia" w:hAnsiTheme="minorEastAsia"/>
          <w:bCs/>
          <w:color w:val="000000" w:themeColor="text1"/>
        </w:rPr>
        <w:t>元，小数点后第</w:t>
      </w:r>
      <w:r w:rsidR="00D92242" w:rsidRPr="00286323">
        <w:rPr>
          <w:rFonts w:asciiTheme="minorEastAsia" w:eastAsiaTheme="minorEastAsia" w:hAnsiTheme="minorEastAsia" w:hint="eastAsia"/>
          <w:bCs/>
          <w:color w:val="000000" w:themeColor="text1"/>
        </w:rPr>
        <w:t>五</w:t>
      </w:r>
      <w:r w:rsidRPr="00286323">
        <w:rPr>
          <w:rFonts w:asciiTheme="minorEastAsia" w:eastAsiaTheme="minorEastAsia" w:hAnsiTheme="minorEastAsia"/>
          <w:bCs/>
          <w:color w:val="000000" w:themeColor="text1"/>
        </w:rPr>
        <w:t>位四舍五入。国家另有规定的，从其规定。</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每个工作日计算基金资产净值及基金份额净值，并按规定公告。</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1A7CDB" w:rsidRPr="00286323" w:rsidRDefault="001A7CDB" w:rsidP="00F71D3B">
      <w:pPr>
        <w:pStyle w:val="20"/>
        <w:numPr>
          <w:ilvl w:val="0"/>
          <w:numId w:val="19"/>
        </w:numPr>
        <w:snapToGrid w:val="0"/>
        <w:spacing w:beforeLines="0" w:afterLines="0" w:line="360" w:lineRule="auto"/>
        <w:ind w:left="0" w:firstLineChars="0" w:firstLine="0"/>
        <w:rPr>
          <w:rFonts w:asciiTheme="minorEastAsia" w:eastAsiaTheme="minorEastAsia" w:hAnsiTheme="minorEastAsia" w:cs="Arial"/>
          <w:b w:val="0"/>
          <w:color w:val="000000" w:themeColor="text1"/>
        </w:rPr>
      </w:pPr>
      <w:r w:rsidRPr="00286323">
        <w:rPr>
          <w:rFonts w:asciiTheme="minorEastAsia" w:eastAsiaTheme="minorEastAsia" w:hAnsiTheme="minorEastAsia" w:cs="Arial"/>
          <w:b w:val="0"/>
          <w:color w:val="000000" w:themeColor="text1"/>
        </w:rPr>
        <w:lastRenderedPageBreak/>
        <w:t>估值错误的处理</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基金管理人和基金托管人将采取必要、适当、合理的措施确保基金资产估值的准确性、及时性。当基金份额净值小数点后</w:t>
      </w:r>
      <w:r w:rsidR="00D92242" w:rsidRPr="00286323">
        <w:rPr>
          <w:rFonts w:asciiTheme="minorEastAsia" w:eastAsiaTheme="minorEastAsia" w:hAnsiTheme="minorEastAsia" w:hint="eastAsia"/>
          <w:bCs/>
          <w:color w:val="000000" w:themeColor="text1"/>
        </w:rPr>
        <w:t>4</w:t>
      </w:r>
      <w:r w:rsidRPr="00286323">
        <w:rPr>
          <w:rFonts w:asciiTheme="minorEastAsia" w:eastAsiaTheme="minorEastAsia" w:hAnsiTheme="minorEastAsia"/>
          <w:bCs/>
          <w:color w:val="000000" w:themeColor="text1"/>
        </w:rPr>
        <w:t>位以内（含第</w:t>
      </w:r>
      <w:r w:rsidR="00D92242" w:rsidRPr="00286323">
        <w:rPr>
          <w:rFonts w:asciiTheme="minorEastAsia" w:eastAsiaTheme="minorEastAsia" w:hAnsiTheme="minorEastAsia" w:hint="eastAsia"/>
          <w:bCs/>
          <w:color w:val="000000" w:themeColor="text1"/>
        </w:rPr>
        <w:t>4</w:t>
      </w:r>
      <w:r w:rsidRPr="00286323">
        <w:rPr>
          <w:rFonts w:asciiTheme="minorEastAsia" w:eastAsiaTheme="minorEastAsia" w:hAnsiTheme="minorEastAsia"/>
          <w:bCs/>
          <w:color w:val="000000" w:themeColor="text1"/>
        </w:rPr>
        <w:t>位）发生估值错误时，视为基金份额净值错误。</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基金合同的当事人应按照以下约定处理：</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1、估值错误类型</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本基金运作过程中，如果由于基金管理人或基金托管人、或注册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上述估值错误的主要类型包括但不限于：资料申报差错、数据传输差错、数据计算差错、系统故障差错、下达指令差错等。</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2、估值错误处理原则</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w:t>
      </w:r>
      <w:r w:rsidRPr="00286323">
        <w:rPr>
          <w:rFonts w:asciiTheme="minorEastAsia" w:eastAsiaTheme="minorEastAsia" w:hAnsiTheme="minorEastAsia" w:hint="eastAsia"/>
          <w:bCs/>
          <w:color w:val="000000" w:themeColor="text1"/>
        </w:rPr>
        <w:t>2</w:t>
      </w:r>
      <w:r w:rsidRPr="00286323">
        <w:rPr>
          <w:rFonts w:asciiTheme="minorEastAsia" w:eastAsiaTheme="minorEastAsia" w:hAnsiTheme="minorEastAsia"/>
          <w:bCs/>
          <w:color w:val="000000" w:themeColor="text1"/>
        </w:rPr>
        <w:t>）估值错误的责任方对有关当事人的直接损失负责，不对间接损失负责，并且仅对估值错误的有关直接当事人负责，不对第三方负责。</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w:t>
      </w:r>
      <w:r w:rsidRPr="00286323">
        <w:rPr>
          <w:rFonts w:asciiTheme="minorEastAsia" w:eastAsiaTheme="minorEastAsia" w:hAnsiTheme="minorEastAsia" w:hint="eastAsia"/>
          <w:bCs/>
          <w:color w:val="000000" w:themeColor="text1"/>
        </w:rPr>
        <w:t>3</w:t>
      </w:r>
      <w:r w:rsidRPr="00286323">
        <w:rPr>
          <w:rFonts w:asciiTheme="minorEastAsia" w:eastAsiaTheme="minorEastAsia" w:hAnsiTheme="minorEastAsia"/>
          <w:bCs/>
          <w:color w:val="000000" w:themeColor="text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w:t>
      </w:r>
      <w:r w:rsidRPr="00286323">
        <w:rPr>
          <w:rFonts w:asciiTheme="minorEastAsia" w:eastAsiaTheme="minorEastAsia" w:hAnsiTheme="minorEastAsia" w:hint="eastAsia"/>
          <w:bCs/>
          <w:color w:val="000000" w:themeColor="text1"/>
        </w:rPr>
        <w:t>4</w:t>
      </w:r>
      <w:r w:rsidRPr="00286323">
        <w:rPr>
          <w:rFonts w:asciiTheme="minorEastAsia" w:eastAsiaTheme="minorEastAsia" w:hAnsiTheme="minorEastAsia"/>
          <w:bCs/>
          <w:color w:val="000000" w:themeColor="text1"/>
        </w:rPr>
        <w:t>）估值错误调整采用尽量恢复至假设未发生估值错误的正确情形的方式。</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3、估值错误处理程序</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估值错误被发现后，有关的当事人应当及时进行处理，处理的程序如下：</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lastRenderedPageBreak/>
        <w:t>（1）查明估值错误发生的原因，列明所有的当事人，并根据估值错误发生的原因确定估值错误的责任方；</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w:t>
      </w:r>
      <w:r w:rsidRPr="00286323">
        <w:rPr>
          <w:rFonts w:asciiTheme="minorEastAsia" w:eastAsiaTheme="minorEastAsia" w:hAnsiTheme="minorEastAsia" w:hint="eastAsia"/>
          <w:bCs/>
          <w:color w:val="000000" w:themeColor="text1"/>
        </w:rPr>
        <w:t>2</w:t>
      </w:r>
      <w:r w:rsidRPr="00286323">
        <w:rPr>
          <w:rFonts w:asciiTheme="minorEastAsia" w:eastAsiaTheme="minorEastAsia" w:hAnsiTheme="minorEastAsia"/>
          <w:bCs/>
          <w:color w:val="000000" w:themeColor="text1"/>
        </w:rPr>
        <w:t>）根据估值错误处理原则或当事人协商的方法对因估值错误造成的损失进行评估；</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w:t>
      </w:r>
      <w:r w:rsidRPr="00286323">
        <w:rPr>
          <w:rFonts w:asciiTheme="minorEastAsia" w:eastAsiaTheme="minorEastAsia" w:hAnsiTheme="minorEastAsia" w:hint="eastAsia"/>
          <w:bCs/>
          <w:color w:val="000000" w:themeColor="text1"/>
        </w:rPr>
        <w:t>3</w:t>
      </w:r>
      <w:r w:rsidRPr="00286323">
        <w:rPr>
          <w:rFonts w:asciiTheme="minorEastAsia" w:eastAsiaTheme="minorEastAsia" w:hAnsiTheme="minorEastAsia"/>
          <w:bCs/>
          <w:color w:val="000000" w:themeColor="text1"/>
        </w:rPr>
        <w:t>）根据估值错误处理原则或当事人协商的方法由估值错误的责任方进行更正和赔偿损失；</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w:t>
      </w:r>
      <w:r w:rsidRPr="00286323">
        <w:rPr>
          <w:rFonts w:asciiTheme="minorEastAsia" w:eastAsiaTheme="minorEastAsia" w:hAnsiTheme="minorEastAsia" w:hint="eastAsia"/>
          <w:bCs/>
          <w:color w:val="000000" w:themeColor="text1"/>
        </w:rPr>
        <w:t>4</w:t>
      </w:r>
      <w:r w:rsidRPr="00286323">
        <w:rPr>
          <w:rFonts w:asciiTheme="minorEastAsia" w:eastAsiaTheme="minorEastAsia" w:hAnsiTheme="minorEastAsia"/>
          <w:bCs/>
          <w:color w:val="000000" w:themeColor="text1"/>
        </w:rPr>
        <w:t>）根据估值错误处理的方法，需要修改基金注册登记机构交易数据的，由基金注册登记机构进行更正，并就估值错误的更正向有关当事人进行确认。</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4、基金份额净值估值错误处理的方法如下：</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（1）基金份额净值计算出现错误时，基金管理人应当立即予以纠正，通报基金托管人，并采取合理的措施防止损失进一步扩大。</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w:t>
      </w:r>
      <w:r w:rsidRPr="00286323">
        <w:rPr>
          <w:rFonts w:asciiTheme="minorEastAsia" w:eastAsiaTheme="minorEastAsia" w:hAnsiTheme="minorEastAsia" w:hint="eastAsia"/>
          <w:bCs/>
          <w:color w:val="000000" w:themeColor="text1"/>
        </w:rPr>
        <w:t>2</w:t>
      </w:r>
      <w:r w:rsidRPr="00286323">
        <w:rPr>
          <w:rFonts w:asciiTheme="minorEastAsia" w:eastAsiaTheme="minorEastAsia" w:hAnsiTheme="minorEastAsia"/>
          <w:bCs/>
          <w:color w:val="000000" w:themeColor="text1"/>
        </w:rPr>
        <w:t>）错误偏差达到基金份额净值的0.25%时，基金管理人应当通报基金托管人并报中国证监会备案；错误偏差达到基金份额净值的0.5%时，基金管理人应当公告。</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w:t>
      </w:r>
      <w:r w:rsidRPr="00286323">
        <w:rPr>
          <w:rFonts w:asciiTheme="minorEastAsia" w:eastAsiaTheme="minorEastAsia" w:hAnsiTheme="minorEastAsia" w:hint="eastAsia"/>
          <w:bCs/>
          <w:color w:val="000000" w:themeColor="text1"/>
        </w:rPr>
        <w:t>3</w:t>
      </w:r>
      <w:r w:rsidRPr="00286323">
        <w:rPr>
          <w:rFonts w:asciiTheme="minorEastAsia" w:eastAsiaTheme="minorEastAsia" w:hAnsiTheme="minorEastAsia"/>
          <w:bCs/>
          <w:color w:val="000000" w:themeColor="text1"/>
        </w:rPr>
        <w:t>）前述内容如法律法规或监管机关另有规定的，从其规定处理。</w:t>
      </w:r>
    </w:p>
    <w:p w:rsidR="001A7CDB" w:rsidRPr="00286323" w:rsidRDefault="001A7CDB" w:rsidP="00F71D3B">
      <w:pPr>
        <w:pStyle w:val="20"/>
        <w:numPr>
          <w:ilvl w:val="0"/>
          <w:numId w:val="19"/>
        </w:numPr>
        <w:snapToGrid w:val="0"/>
        <w:spacing w:beforeLines="0" w:afterLines="0" w:line="360" w:lineRule="auto"/>
        <w:ind w:left="0" w:firstLineChars="0" w:firstLine="0"/>
        <w:rPr>
          <w:rFonts w:asciiTheme="minorEastAsia" w:eastAsiaTheme="minorEastAsia" w:hAnsiTheme="minorEastAsia" w:cs="Arial"/>
          <w:b w:val="0"/>
          <w:color w:val="000000" w:themeColor="text1"/>
        </w:rPr>
      </w:pPr>
      <w:r w:rsidRPr="00286323">
        <w:rPr>
          <w:rFonts w:asciiTheme="minorEastAsia" w:eastAsiaTheme="minorEastAsia" w:hAnsiTheme="minorEastAsia" w:cs="Arial"/>
          <w:b w:val="0"/>
          <w:color w:val="000000" w:themeColor="text1"/>
        </w:rPr>
        <w:t>暂停估值的情形</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1、基金投资所涉及的证券交易市场遇法定节假日或因其他原因暂停营业时；</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2、因不可抗力致使基金管理人、基金托管人无法准确评估基金资产价值时；</w:t>
      </w:r>
    </w:p>
    <w:p w:rsidR="00A837EC" w:rsidRPr="00286323" w:rsidRDefault="00A837EC"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3、当前一估值日基金资产净值50%以上的资产出现无可参考的活跃市场价格且采用估值技术仍导致公允价值存在重大不确定性时，经与基金托管人协商一致的；</w:t>
      </w:r>
    </w:p>
    <w:p w:rsidR="001A7CDB" w:rsidRPr="00286323" w:rsidRDefault="00A837EC"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4</w:t>
      </w:r>
      <w:r w:rsidR="001A7CDB" w:rsidRPr="00286323">
        <w:rPr>
          <w:rFonts w:asciiTheme="minorEastAsia" w:eastAsiaTheme="minorEastAsia" w:hAnsiTheme="minorEastAsia"/>
          <w:bCs/>
          <w:color w:val="000000" w:themeColor="text1"/>
        </w:rPr>
        <w:t>、中国证监会和基金合同认定的其它情形。</w:t>
      </w:r>
    </w:p>
    <w:p w:rsidR="001A7CDB" w:rsidRPr="00286323" w:rsidRDefault="001A7CDB" w:rsidP="00F71D3B">
      <w:pPr>
        <w:pStyle w:val="20"/>
        <w:numPr>
          <w:ilvl w:val="0"/>
          <w:numId w:val="19"/>
        </w:numPr>
        <w:snapToGrid w:val="0"/>
        <w:spacing w:beforeLines="0" w:afterLines="0" w:line="360" w:lineRule="auto"/>
        <w:ind w:left="0" w:firstLineChars="0" w:firstLine="0"/>
        <w:rPr>
          <w:rFonts w:asciiTheme="minorEastAsia" w:eastAsiaTheme="minorEastAsia" w:hAnsiTheme="minorEastAsia" w:cs="Arial"/>
          <w:b w:val="0"/>
          <w:color w:val="000000" w:themeColor="text1"/>
        </w:rPr>
      </w:pPr>
      <w:r w:rsidRPr="00286323">
        <w:rPr>
          <w:rFonts w:asciiTheme="minorEastAsia" w:eastAsiaTheme="minorEastAsia" w:hAnsiTheme="minorEastAsia" w:cs="Arial"/>
          <w:b w:val="0"/>
          <w:color w:val="000000" w:themeColor="text1"/>
        </w:rPr>
        <w:t>基金净值的确认</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bCs/>
          <w:color w:val="000000" w:themeColor="text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1A7CDB" w:rsidRPr="00286323" w:rsidRDefault="001A7CDB" w:rsidP="00F71D3B">
      <w:pPr>
        <w:pStyle w:val="20"/>
        <w:numPr>
          <w:ilvl w:val="0"/>
          <w:numId w:val="19"/>
        </w:numPr>
        <w:snapToGrid w:val="0"/>
        <w:spacing w:beforeLines="0" w:afterLines="0" w:line="360" w:lineRule="auto"/>
        <w:ind w:left="0" w:firstLineChars="0" w:firstLine="0"/>
        <w:rPr>
          <w:rFonts w:asciiTheme="minorEastAsia" w:eastAsiaTheme="minorEastAsia" w:hAnsiTheme="minorEastAsia" w:cs="Arial"/>
          <w:b w:val="0"/>
          <w:color w:val="000000" w:themeColor="text1"/>
        </w:rPr>
      </w:pPr>
      <w:r w:rsidRPr="00286323">
        <w:rPr>
          <w:rFonts w:asciiTheme="minorEastAsia" w:eastAsiaTheme="minorEastAsia" w:hAnsiTheme="minorEastAsia" w:cs="Arial"/>
          <w:b w:val="0"/>
          <w:color w:val="000000" w:themeColor="text1"/>
        </w:rPr>
        <w:t>特殊情</w:t>
      </w:r>
      <w:r w:rsidR="005E6438" w:rsidRPr="00286323">
        <w:rPr>
          <w:rFonts w:asciiTheme="minorEastAsia" w:eastAsiaTheme="minorEastAsia" w:hAnsiTheme="minorEastAsia" w:cs="Arial" w:hint="eastAsia"/>
          <w:b w:val="0"/>
          <w:bCs/>
          <w:color w:val="000000" w:themeColor="text1"/>
        </w:rPr>
        <w:t>况</w:t>
      </w:r>
      <w:r w:rsidRPr="00286323">
        <w:rPr>
          <w:rFonts w:asciiTheme="minorEastAsia" w:eastAsiaTheme="minorEastAsia" w:hAnsiTheme="minorEastAsia" w:cs="Arial"/>
          <w:b w:val="0"/>
          <w:color w:val="000000" w:themeColor="text1"/>
        </w:rPr>
        <w:t>的处理</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1、基金管理人或基金托管人按估值方法的第</w:t>
      </w:r>
      <w:r w:rsidR="00F76EEB" w:rsidRPr="00286323">
        <w:rPr>
          <w:rFonts w:asciiTheme="minorEastAsia" w:eastAsiaTheme="minorEastAsia" w:hAnsiTheme="minorEastAsia" w:hint="eastAsia"/>
          <w:bCs/>
          <w:color w:val="000000" w:themeColor="text1"/>
        </w:rPr>
        <w:t>8</w:t>
      </w:r>
      <w:r w:rsidRPr="00286323">
        <w:rPr>
          <w:rFonts w:asciiTheme="minorEastAsia" w:eastAsiaTheme="minorEastAsia" w:hAnsiTheme="minorEastAsia" w:hint="eastAsia"/>
          <w:bCs/>
          <w:color w:val="000000" w:themeColor="text1"/>
        </w:rPr>
        <w:t>项进行估值时，所造成的误差不作为基金资产估值错误处理。</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hint="eastAsia"/>
          <w:bCs/>
          <w:color w:val="000000" w:themeColor="text1"/>
        </w:rPr>
        <w:t>2、由于不可抗力原因，或由于证券交易所及注册登记机构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应当积极采取必要的措施消除由此造成的影响。</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p>
    <w:p w:rsidR="001A7CDB" w:rsidRPr="00286323" w:rsidRDefault="001A7CDB" w:rsidP="00F71D3B">
      <w:pPr>
        <w:pStyle w:val="11"/>
        <w:numPr>
          <w:ilvl w:val="0"/>
          <w:numId w:val="9"/>
        </w:numPr>
        <w:snapToGrid w:val="0"/>
        <w:spacing w:beforeLines="0" w:afterLines="0" w:line="360" w:lineRule="auto"/>
        <w:ind w:firstLineChars="0"/>
        <w:rPr>
          <w:rFonts w:asciiTheme="minorEastAsia" w:eastAsiaTheme="minorEastAsia" w:hAnsiTheme="minorEastAsia" w:cs="Arial"/>
          <w:bCs/>
          <w:color w:val="000000" w:themeColor="text1"/>
        </w:rPr>
      </w:pPr>
      <w:bookmarkStart w:id="110" w:name="_Toc81922649"/>
      <w:r w:rsidRPr="00286323">
        <w:rPr>
          <w:rFonts w:asciiTheme="minorEastAsia" w:eastAsiaTheme="minorEastAsia" w:hAnsiTheme="minorEastAsia" w:cs="Arial" w:hint="eastAsia"/>
          <w:bCs/>
          <w:color w:val="000000" w:themeColor="text1"/>
        </w:rPr>
        <w:lastRenderedPageBreak/>
        <w:t>基金的收益与分配</w:t>
      </w:r>
      <w:bookmarkEnd w:id="110"/>
    </w:p>
    <w:p w:rsidR="001A7CDB" w:rsidRPr="00286323" w:rsidRDefault="001A7CDB" w:rsidP="00AF46A7">
      <w:pPr>
        <w:pStyle w:val="20"/>
        <w:numPr>
          <w:ilvl w:val="0"/>
          <w:numId w:val="20"/>
        </w:numPr>
        <w:snapToGrid w:val="0"/>
        <w:spacing w:beforeLines="0" w:afterLines="0" w:line="360" w:lineRule="auto"/>
        <w:ind w:leftChars="-67" w:left="-1" w:hangingChars="50" w:hanging="140"/>
        <w:rPr>
          <w:rFonts w:asciiTheme="minorEastAsia" w:eastAsiaTheme="minorEastAsia" w:hAnsiTheme="minorEastAsia" w:cs="Arial"/>
          <w:b w:val="0"/>
          <w:color w:val="000000" w:themeColor="text1"/>
        </w:rPr>
      </w:pPr>
      <w:bookmarkStart w:id="111" w:name="_Toc84149664"/>
      <w:bookmarkStart w:id="112" w:name="_Toc86584639"/>
      <w:r w:rsidRPr="00286323">
        <w:rPr>
          <w:rFonts w:asciiTheme="minorEastAsia" w:eastAsiaTheme="minorEastAsia" w:hAnsiTheme="minorEastAsia" w:cs="Arial"/>
          <w:b w:val="0"/>
          <w:color w:val="000000" w:themeColor="text1"/>
        </w:rPr>
        <w:t>基金利润的构成</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基金利润指基金利息收入、投资收益、公允价值变动收益和其他收入扣除相关费用后的余额</w:t>
      </w:r>
      <w:r w:rsidR="00F568B0" w:rsidRPr="00286323">
        <w:rPr>
          <w:rFonts w:asciiTheme="minorEastAsia" w:eastAsiaTheme="minorEastAsia" w:hAnsiTheme="minorEastAsia" w:cs="Arial" w:hint="eastAsia"/>
          <w:color w:val="000000" w:themeColor="text1"/>
        </w:rPr>
        <w:t>，</w:t>
      </w:r>
      <w:r w:rsidRPr="00286323">
        <w:rPr>
          <w:rFonts w:asciiTheme="minorEastAsia" w:eastAsiaTheme="minorEastAsia" w:hAnsiTheme="minorEastAsia" w:cs="Arial"/>
          <w:color w:val="000000" w:themeColor="text1"/>
        </w:rPr>
        <w:t>基金已实现收益指基金利润减去公允价值变动收益后的余额。</w:t>
      </w:r>
    </w:p>
    <w:p w:rsidR="001A7CDB" w:rsidRPr="00286323" w:rsidRDefault="001A7CDB" w:rsidP="00AF46A7">
      <w:pPr>
        <w:pStyle w:val="20"/>
        <w:numPr>
          <w:ilvl w:val="0"/>
          <w:numId w:val="20"/>
        </w:numPr>
        <w:snapToGrid w:val="0"/>
        <w:spacing w:beforeLines="0" w:afterLines="0" w:line="360" w:lineRule="auto"/>
        <w:ind w:leftChars="-68" w:left="-3" w:hangingChars="50" w:hanging="140"/>
        <w:rPr>
          <w:rFonts w:asciiTheme="minorEastAsia" w:eastAsiaTheme="minorEastAsia" w:hAnsiTheme="minorEastAsia" w:cs="Arial"/>
          <w:b w:val="0"/>
          <w:color w:val="000000" w:themeColor="text1"/>
        </w:rPr>
      </w:pPr>
      <w:r w:rsidRPr="00286323">
        <w:rPr>
          <w:rFonts w:asciiTheme="minorEastAsia" w:eastAsiaTheme="minorEastAsia" w:hAnsiTheme="minorEastAsia" w:cs="Arial"/>
          <w:b w:val="0"/>
          <w:color w:val="000000" w:themeColor="text1"/>
        </w:rPr>
        <w:t>基金可供分配利润</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基金可供分配利润指截至收益分配基准日基金未分配利润与未分配利润中已实现收益的孰低数。</w:t>
      </w:r>
    </w:p>
    <w:p w:rsidR="001A7CDB" w:rsidRPr="00286323" w:rsidRDefault="00F568B0" w:rsidP="00AF46A7">
      <w:pPr>
        <w:pStyle w:val="20"/>
        <w:numPr>
          <w:ilvl w:val="0"/>
          <w:numId w:val="20"/>
        </w:numPr>
        <w:snapToGrid w:val="0"/>
        <w:spacing w:beforeLines="0" w:afterLines="0" w:line="360" w:lineRule="auto"/>
        <w:ind w:leftChars="-67" w:left="-1" w:hangingChars="50" w:hanging="140"/>
        <w:rPr>
          <w:rFonts w:asciiTheme="minorEastAsia" w:eastAsiaTheme="minorEastAsia" w:hAnsiTheme="minorEastAsia" w:cs="Arial"/>
          <w:b w:val="0"/>
          <w:color w:val="000000" w:themeColor="text1"/>
        </w:rPr>
      </w:pPr>
      <w:r w:rsidRPr="00286323">
        <w:rPr>
          <w:rFonts w:asciiTheme="minorEastAsia" w:eastAsiaTheme="minorEastAsia" w:hAnsiTheme="minorEastAsia" w:cs="Arial"/>
          <w:b w:val="0"/>
          <w:bCs/>
          <w:color w:val="000000" w:themeColor="text1"/>
        </w:rPr>
        <w:t>基金</w:t>
      </w:r>
      <w:r w:rsidR="001A7CDB" w:rsidRPr="00286323">
        <w:rPr>
          <w:rFonts w:asciiTheme="minorEastAsia" w:eastAsiaTheme="minorEastAsia" w:hAnsiTheme="minorEastAsia" w:cs="Arial"/>
          <w:b w:val="0"/>
          <w:color w:val="000000" w:themeColor="text1"/>
        </w:rPr>
        <w:t>收益分配原则</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w:t>
      </w:r>
      <w:r w:rsidRPr="00286323">
        <w:rPr>
          <w:rFonts w:asciiTheme="minorEastAsia" w:eastAsiaTheme="minorEastAsia" w:hAnsiTheme="minorEastAsia" w:cs="Arial"/>
          <w:color w:val="000000" w:themeColor="text1"/>
        </w:rPr>
        <w:t>在符合有关基金分红条件的前提下，本基金每年收益分配次数最多为12次，每份基金份额每次分配比例不得低于收益分配基准日每份基金份额可供分配利润的10%</w:t>
      </w:r>
      <w:r w:rsidR="00F568B0" w:rsidRPr="00286323">
        <w:rPr>
          <w:rFonts w:asciiTheme="minorEastAsia" w:eastAsiaTheme="minorEastAsia" w:hAnsiTheme="minorEastAsia" w:cs="Arial" w:hint="eastAsia"/>
          <w:color w:val="000000" w:themeColor="text1"/>
        </w:rPr>
        <w:t>，</w:t>
      </w:r>
      <w:r w:rsidRPr="00286323">
        <w:rPr>
          <w:rFonts w:asciiTheme="minorEastAsia" w:eastAsiaTheme="minorEastAsia" w:hAnsiTheme="minorEastAsia" w:cs="Arial"/>
          <w:color w:val="000000" w:themeColor="text1"/>
        </w:rPr>
        <w:t>若</w:t>
      </w:r>
      <w:r w:rsidR="00F568B0" w:rsidRPr="00286323">
        <w:rPr>
          <w:rFonts w:asciiTheme="minorEastAsia" w:eastAsiaTheme="minorEastAsia" w:hAnsiTheme="minorEastAsia"/>
          <w:bCs/>
          <w:color w:val="000000" w:themeColor="text1"/>
          <w:sz w:val="24"/>
        </w:rPr>
        <w:t>《</w:t>
      </w:r>
      <w:r w:rsidRPr="00286323">
        <w:rPr>
          <w:rFonts w:asciiTheme="minorEastAsia" w:eastAsiaTheme="minorEastAsia" w:hAnsiTheme="minorEastAsia" w:cs="Arial"/>
          <w:color w:val="000000" w:themeColor="text1"/>
        </w:rPr>
        <w:t>基金合同</w:t>
      </w:r>
      <w:r w:rsidR="00F568B0" w:rsidRPr="00286323">
        <w:rPr>
          <w:rFonts w:asciiTheme="minorEastAsia" w:eastAsiaTheme="minorEastAsia" w:hAnsiTheme="minorEastAsia"/>
          <w:bCs/>
          <w:color w:val="000000" w:themeColor="text1"/>
          <w:sz w:val="24"/>
        </w:rPr>
        <w:t>》</w:t>
      </w:r>
      <w:r w:rsidRPr="00286323">
        <w:rPr>
          <w:rFonts w:asciiTheme="minorEastAsia" w:eastAsiaTheme="minorEastAsia" w:hAnsiTheme="minorEastAsia" w:cs="Arial"/>
          <w:color w:val="000000" w:themeColor="text1"/>
        </w:rPr>
        <w:t>生效不满3个月可不进行收益分配；</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2、本</w:t>
      </w:r>
      <w:r w:rsidRPr="00286323">
        <w:rPr>
          <w:rFonts w:asciiTheme="minorEastAsia" w:eastAsiaTheme="minorEastAsia" w:hAnsiTheme="minorEastAsia" w:cs="Arial"/>
          <w:color w:val="000000" w:themeColor="text1"/>
        </w:rPr>
        <w:t>基金收益分配</w:t>
      </w:r>
      <w:r w:rsidRPr="00286323">
        <w:rPr>
          <w:rFonts w:asciiTheme="minorEastAsia" w:eastAsiaTheme="minorEastAsia" w:hAnsiTheme="minorEastAsia" w:cs="Arial" w:hint="eastAsia"/>
          <w:color w:val="000000" w:themeColor="text1"/>
        </w:rPr>
        <w:t>方式分两种：</w:t>
      </w:r>
      <w:r w:rsidRPr="00286323">
        <w:rPr>
          <w:rFonts w:asciiTheme="minorEastAsia" w:eastAsiaTheme="minorEastAsia" w:hAnsiTheme="minorEastAsia" w:cs="Arial"/>
          <w:color w:val="000000" w:themeColor="text1"/>
        </w:rPr>
        <w:t>现金</w:t>
      </w:r>
      <w:r w:rsidRPr="00286323">
        <w:rPr>
          <w:rFonts w:asciiTheme="minorEastAsia" w:eastAsiaTheme="minorEastAsia" w:hAnsiTheme="minorEastAsia" w:cs="Arial" w:hint="eastAsia"/>
          <w:color w:val="000000" w:themeColor="text1"/>
        </w:rPr>
        <w:t>分红与</w:t>
      </w:r>
      <w:r w:rsidRPr="00286323">
        <w:rPr>
          <w:rFonts w:asciiTheme="minorEastAsia" w:eastAsiaTheme="minorEastAsia" w:hAnsiTheme="minorEastAsia" w:cs="Arial"/>
          <w:color w:val="000000" w:themeColor="text1"/>
        </w:rPr>
        <w:t>红利再投资</w:t>
      </w:r>
      <w:r w:rsidR="00F568B0" w:rsidRPr="00286323">
        <w:rPr>
          <w:rFonts w:asciiTheme="minorEastAsia" w:eastAsiaTheme="minorEastAsia" w:hAnsiTheme="minorEastAsia" w:cs="Arial" w:hint="eastAsia"/>
          <w:color w:val="000000" w:themeColor="text1"/>
        </w:rPr>
        <w:t>，</w:t>
      </w:r>
      <w:r w:rsidRPr="00286323">
        <w:rPr>
          <w:rFonts w:asciiTheme="minorEastAsia" w:eastAsiaTheme="minorEastAsia" w:hAnsiTheme="minorEastAsia" w:cs="Arial"/>
          <w:color w:val="000000" w:themeColor="text1"/>
        </w:rPr>
        <w:t>基金份额持有人可选择</w:t>
      </w:r>
      <w:r w:rsidRPr="00286323">
        <w:rPr>
          <w:rFonts w:asciiTheme="minorEastAsia" w:eastAsiaTheme="minorEastAsia" w:hAnsiTheme="minorEastAsia" w:cs="Arial" w:hint="eastAsia"/>
          <w:color w:val="000000" w:themeColor="text1"/>
        </w:rPr>
        <w:t>现金红利或将现金红利自动转为基金份额进行再投资；若投资者不选择，本基金默认的收益分配方式是现金分红；</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3、基金收益分配后基金份额净值不能低于面值</w:t>
      </w:r>
      <w:r w:rsidR="00F568B0" w:rsidRPr="00286323">
        <w:rPr>
          <w:rFonts w:asciiTheme="minorEastAsia" w:eastAsiaTheme="minorEastAsia" w:hAnsiTheme="minorEastAsia" w:cs="Arial" w:hint="eastAsia"/>
          <w:color w:val="000000" w:themeColor="text1"/>
        </w:rPr>
        <w:t>；</w:t>
      </w:r>
      <w:r w:rsidRPr="00286323">
        <w:rPr>
          <w:rFonts w:asciiTheme="minorEastAsia" w:eastAsiaTheme="minorEastAsia" w:hAnsiTheme="minorEastAsia" w:cs="Arial" w:hint="eastAsia"/>
          <w:color w:val="000000" w:themeColor="text1"/>
        </w:rPr>
        <w:t>即</w:t>
      </w:r>
      <w:r w:rsidRPr="00286323">
        <w:rPr>
          <w:rFonts w:asciiTheme="minorEastAsia" w:eastAsiaTheme="minorEastAsia" w:hAnsiTheme="minorEastAsia" w:cs="Arial"/>
          <w:color w:val="000000" w:themeColor="text1"/>
        </w:rPr>
        <w:t>基金收益分配基准日的基金份额净值减去每单位基金份额收益分配金额后不能低于面值；</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4、</w:t>
      </w:r>
      <w:r w:rsidRPr="00286323">
        <w:rPr>
          <w:rFonts w:asciiTheme="minorEastAsia" w:eastAsiaTheme="minorEastAsia" w:hAnsiTheme="minorEastAsia" w:cs="Arial"/>
          <w:color w:val="000000" w:themeColor="text1"/>
        </w:rPr>
        <w:t>每一基金份额享有同等分配权；</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5</w:t>
      </w:r>
      <w:r w:rsidRPr="00286323">
        <w:rPr>
          <w:rFonts w:asciiTheme="minorEastAsia" w:eastAsiaTheme="minorEastAsia" w:hAnsiTheme="minorEastAsia" w:cs="Arial" w:hint="eastAsia"/>
          <w:color w:val="000000" w:themeColor="text1"/>
        </w:rPr>
        <w:t>、</w:t>
      </w:r>
      <w:r w:rsidRPr="00286323">
        <w:rPr>
          <w:rFonts w:asciiTheme="minorEastAsia" w:eastAsiaTheme="minorEastAsia" w:hAnsiTheme="minorEastAsia" w:cs="Arial"/>
          <w:color w:val="000000" w:themeColor="text1"/>
        </w:rPr>
        <w:t>法律法规或监管机</w:t>
      </w:r>
      <w:r w:rsidR="00F568B0" w:rsidRPr="00286323">
        <w:rPr>
          <w:rFonts w:asciiTheme="minorEastAsia" w:eastAsiaTheme="minorEastAsia" w:hAnsiTheme="minorEastAsia" w:cs="Arial" w:hint="eastAsia"/>
          <w:color w:val="000000" w:themeColor="text1"/>
        </w:rPr>
        <w:t>关</w:t>
      </w:r>
      <w:r w:rsidRPr="00286323">
        <w:rPr>
          <w:rFonts w:asciiTheme="minorEastAsia" w:eastAsiaTheme="minorEastAsia" w:hAnsiTheme="minorEastAsia" w:cs="Arial"/>
          <w:color w:val="000000" w:themeColor="text1"/>
        </w:rPr>
        <w:t>另有规定的，从其规定。</w:t>
      </w:r>
    </w:p>
    <w:p w:rsidR="001A7CDB" w:rsidRPr="00286323" w:rsidRDefault="00F568B0" w:rsidP="00AF46A7">
      <w:pPr>
        <w:pStyle w:val="20"/>
        <w:numPr>
          <w:ilvl w:val="0"/>
          <w:numId w:val="20"/>
        </w:numPr>
        <w:snapToGrid w:val="0"/>
        <w:spacing w:beforeLines="0" w:afterLines="0" w:line="360" w:lineRule="auto"/>
        <w:ind w:leftChars="-67" w:left="-1" w:hangingChars="50" w:hanging="140"/>
        <w:rPr>
          <w:rFonts w:asciiTheme="minorEastAsia" w:eastAsiaTheme="minorEastAsia" w:hAnsiTheme="minorEastAsia" w:cs="Arial"/>
          <w:b w:val="0"/>
          <w:color w:val="000000" w:themeColor="text1"/>
        </w:rPr>
      </w:pPr>
      <w:r w:rsidRPr="00286323">
        <w:rPr>
          <w:rFonts w:asciiTheme="minorEastAsia" w:eastAsiaTheme="minorEastAsia" w:hAnsiTheme="minorEastAsia" w:cs="Arial" w:hint="eastAsia"/>
          <w:b w:val="0"/>
          <w:color w:val="000000" w:themeColor="text1"/>
        </w:rPr>
        <w:t>基金</w:t>
      </w:r>
      <w:r w:rsidR="001A7CDB" w:rsidRPr="00286323">
        <w:rPr>
          <w:rFonts w:asciiTheme="minorEastAsia" w:eastAsiaTheme="minorEastAsia" w:hAnsiTheme="minorEastAsia" w:cs="Arial"/>
          <w:b w:val="0"/>
          <w:color w:val="000000" w:themeColor="text1"/>
        </w:rPr>
        <w:t>收益分配方案</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基金收益分配方案中应载明</w:t>
      </w:r>
      <w:r w:rsidR="00F568B0" w:rsidRPr="00286323">
        <w:rPr>
          <w:rFonts w:asciiTheme="minorEastAsia" w:eastAsiaTheme="minorEastAsia" w:hAnsiTheme="minorEastAsia" w:cs="Arial" w:hint="eastAsia"/>
          <w:color w:val="000000" w:themeColor="text1"/>
        </w:rPr>
        <w:t>截止</w:t>
      </w:r>
      <w:r w:rsidRPr="00286323">
        <w:rPr>
          <w:rFonts w:asciiTheme="minorEastAsia" w:eastAsiaTheme="minorEastAsia" w:hAnsiTheme="minorEastAsia" w:cs="Arial"/>
          <w:color w:val="000000" w:themeColor="text1"/>
        </w:rPr>
        <w:t>收益分配基准日</w:t>
      </w:r>
      <w:r w:rsidR="00F568B0" w:rsidRPr="00286323">
        <w:rPr>
          <w:rFonts w:asciiTheme="minorEastAsia" w:eastAsiaTheme="minorEastAsia" w:hAnsiTheme="minorEastAsia" w:cs="Arial" w:hint="eastAsia"/>
          <w:color w:val="000000" w:themeColor="text1"/>
        </w:rPr>
        <w:t>的</w:t>
      </w:r>
      <w:r w:rsidRPr="00286323">
        <w:rPr>
          <w:rFonts w:asciiTheme="minorEastAsia" w:eastAsiaTheme="minorEastAsia" w:hAnsiTheme="minorEastAsia" w:cs="Arial"/>
          <w:color w:val="000000" w:themeColor="text1"/>
        </w:rPr>
        <w:t>可供分配利润、基金收益分配对象、分配时间、分配数额及比例、分配方式等内容。</w:t>
      </w:r>
    </w:p>
    <w:p w:rsidR="001A7CDB" w:rsidRPr="00286323" w:rsidRDefault="001A7CDB" w:rsidP="00AF46A7">
      <w:pPr>
        <w:pStyle w:val="20"/>
        <w:numPr>
          <w:ilvl w:val="0"/>
          <w:numId w:val="20"/>
        </w:numPr>
        <w:snapToGrid w:val="0"/>
        <w:spacing w:beforeLines="0" w:afterLines="0" w:line="360" w:lineRule="auto"/>
        <w:ind w:leftChars="-67" w:left="-1" w:hangingChars="50" w:hanging="140"/>
        <w:rPr>
          <w:rFonts w:asciiTheme="minorEastAsia" w:eastAsiaTheme="minorEastAsia" w:hAnsiTheme="minorEastAsia" w:cs="Arial"/>
          <w:b w:val="0"/>
          <w:color w:val="000000" w:themeColor="text1"/>
        </w:rPr>
      </w:pPr>
      <w:r w:rsidRPr="00286323">
        <w:rPr>
          <w:rFonts w:asciiTheme="minorEastAsia" w:eastAsiaTheme="minorEastAsia" w:hAnsiTheme="minorEastAsia" w:cs="Arial"/>
          <w:b w:val="0"/>
          <w:color w:val="000000" w:themeColor="text1"/>
        </w:rPr>
        <w:t>收益分配方案的确定、公告与实施</w:t>
      </w:r>
    </w:p>
    <w:p w:rsidR="00C45019" w:rsidRPr="00286323" w:rsidRDefault="00C45019" w:rsidP="006D6AC5">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本基金收益分配方案由基金管理人拟定，并由基金托管人复核，在</w:t>
      </w:r>
      <w:r w:rsidRPr="00286323">
        <w:rPr>
          <w:rFonts w:asciiTheme="minorEastAsia" w:eastAsiaTheme="minorEastAsia" w:hAnsiTheme="minorEastAsia" w:cs="Arial"/>
          <w:color w:val="000000" w:themeColor="text1"/>
        </w:rPr>
        <w:t>2</w:t>
      </w:r>
      <w:r w:rsidRPr="00286323">
        <w:rPr>
          <w:rFonts w:asciiTheme="minorEastAsia" w:eastAsiaTheme="minorEastAsia" w:hAnsiTheme="minorEastAsia" w:cs="Arial" w:hint="eastAsia"/>
          <w:color w:val="000000" w:themeColor="text1"/>
        </w:rPr>
        <w:t>日内在指定媒介公告。</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bCs/>
          <w:color w:val="000000" w:themeColor="text1"/>
        </w:rPr>
        <w:t>基金红利发放日距离收益分配基准日（即可供分配利润计算截止日）的时间不得超过15个工作日。</w:t>
      </w:r>
    </w:p>
    <w:p w:rsidR="001A7CDB" w:rsidRPr="00286323" w:rsidRDefault="00F568B0" w:rsidP="00AF46A7">
      <w:pPr>
        <w:pStyle w:val="20"/>
        <w:numPr>
          <w:ilvl w:val="0"/>
          <w:numId w:val="20"/>
        </w:numPr>
        <w:snapToGrid w:val="0"/>
        <w:spacing w:beforeLines="0" w:afterLines="0" w:line="360" w:lineRule="auto"/>
        <w:ind w:leftChars="-67" w:left="-1" w:hangingChars="50" w:hanging="140"/>
        <w:rPr>
          <w:rFonts w:asciiTheme="minorEastAsia" w:eastAsiaTheme="minorEastAsia" w:hAnsiTheme="minorEastAsia" w:cs="Arial"/>
          <w:b w:val="0"/>
          <w:color w:val="000000" w:themeColor="text1"/>
        </w:rPr>
      </w:pPr>
      <w:r w:rsidRPr="00286323">
        <w:rPr>
          <w:rFonts w:asciiTheme="minorEastAsia" w:eastAsiaTheme="minorEastAsia" w:hAnsiTheme="minorEastAsia" w:cs="Arial" w:hint="eastAsia"/>
          <w:b w:val="0"/>
          <w:color w:val="000000" w:themeColor="text1"/>
        </w:rPr>
        <w:t>基金</w:t>
      </w:r>
      <w:r w:rsidR="001A7CDB" w:rsidRPr="00286323">
        <w:rPr>
          <w:rFonts w:asciiTheme="minorEastAsia" w:eastAsiaTheme="minorEastAsia" w:hAnsiTheme="minorEastAsia" w:cs="Arial"/>
          <w:b w:val="0"/>
          <w:color w:val="000000" w:themeColor="text1"/>
        </w:rPr>
        <w:t>收益分配中发生的费用</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基金收益分配时所发生的银行转账或其他手续费用由投资</w:t>
      </w:r>
      <w:r w:rsidR="00F568B0" w:rsidRPr="00286323">
        <w:rPr>
          <w:rFonts w:asciiTheme="minorEastAsia" w:eastAsiaTheme="minorEastAsia" w:hAnsiTheme="minorEastAsia" w:cs="Arial" w:hint="eastAsia"/>
          <w:color w:val="000000" w:themeColor="text1"/>
        </w:rPr>
        <w:t>者</w:t>
      </w:r>
      <w:r w:rsidRPr="00286323">
        <w:rPr>
          <w:rFonts w:asciiTheme="minorEastAsia" w:eastAsiaTheme="minorEastAsia" w:hAnsiTheme="minorEastAsia" w:cs="Arial" w:hint="eastAsia"/>
          <w:color w:val="000000" w:themeColor="text1"/>
        </w:rPr>
        <w:t>自行承担。当投资</w:t>
      </w:r>
      <w:r w:rsidR="00F568B0" w:rsidRPr="00286323">
        <w:rPr>
          <w:rFonts w:asciiTheme="minorEastAsia" w:eastAsiaTheme="minorEastAsia" w:hAnsiTheme="minorEastAsia" w:cs="Arial" w:hint="eastAsia"/>
          <w:color w:val="000000" w:themeColor="text1"/>
        </w:rPr>
        <w:t>者</w:t>
      </w:r>
      <w:r w:rsidRPr="00286323">
        <w:rPr>
          <w:rFonts w:asciiTheme="minorEastAsia" w:eastAsiaTheme="minorEastAsia" w:hAnsiTheme="minorEastAsia" w:cs="Arial" w:hint="eastAsia"/>
          <w:color w:val="000000" w:themeColor="text1"/>
        </w:rPr>
        <w:t>的现金红利小于一定金额，不足于支付银行转账或其他手续费用时，基金注册登记机构可将基</w:t>
      </w:r>
      <w:r w:rsidRPr="00286323">
        <w:rPr>
          <w:rFonts w:asciiTheme="minorEastAsia" w:eastAsiaTheme="minorEastAsia" w:hAnsiTheme="minorEastAsia" w:cs="Arial" w:hint="eastAsia"/>
          <w:color w:val="000000" w:themeColor="text1"/>
        </w:rPr>
        <w:lastRenderedPageBreak/>
        <w:t>金份额持有人的现金红利自动转为基金份额。红利再投资的计算方法，依照《业务规则》执行。</w:t>
      </w:r>
    </w:p>
    <w:bookmarkEnd w:id="111"/>
    <w:bookmarkEnd w:id="112"/>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p>
    <w:p w:rsidR="001A7CDB" w:rsidRPr="00286323" w:rsidRDefault="001A7CDB" w:rsidP="00F71D3B">
      <w:pPr>
        <w:pStyle w:val="11"/>
        <w:numPr>
          <w:ilvl w:val="0"/>
          <w:numId w:val="9"/>
        </w:numPr>
        <w:snapToGrid w:val="0"/>
        <w:spacing w:beforeLines="0" w:afterLines="0" w:line="360" w:lineRule="auto"/>
        <w:ind w:firstLineChars="0"/>
        <w:rPr>
          <w:rFonts w:asciiTheme="minorEastAsia" w:eastAsiaTheme="minorEastAsia" w:hAnsiTheme="minorEastAsia" w:cs="Arial"/>
          <w:bCs/>
          <w:color w:val="000000" w:themeColor="text1"/>
        </w:rPr>
      </w:pPr>
      <w:bookmarkStart w:id="113" w:name="_Toc81922650"/>
      <w:r w:rsidRPr="00286323">
        <w:rPr>
          <w:rFonts w:asciiTheme="minorEastAsia" w:eastAsiaTheme="minorEastAsia" w:hAnsiTheme="minorEastAsia" w:cs="Arial" w:hint="eastAsia"/>
          <w:bCs/>
          <w:color w:val="000000" w:themeColor="text1"/>
        </w:rPr>
        <w:lastRenderedPageBreak/>
        <w:t>基金的费用与税收</w:t>
      </w:r>
      <w:bookmarkEnd w:id="113"/>
    </w:p>
    <w:p w:rsidR="001A7CDB" w:rsidRPr="00286323" w:rsidRDefault="001A7CDB" w:rsidP="00AF46A7">
      <w:pPr>
        <w:pStyle w:val="20"/>
        <w:numPr>
          <w:ilvl w:val="0"/>
          <w:numId w:val="21"/>
        </w:numPr>
        <w:snapToGrid w:val="0"/>
        <w:spacing w:beforeLines="0" w:afterLines="0" w:line="360" w:lineRule="auto"/>
        <w:ind w:leftChars="-67" w:left="-1" w:hangingChars="50" w:hanging="140"/>
        <w:rPr>
          <w:rFonts w:asciiTheme="minorEastAsia" w:eastAsiaTheme="minorEastAsia" w:hAnsiTheme="minorEastAsia" w:cs="Arial"/>
          <w:b w:val="0"/>
          <w:color w:val="000000" w:themeColor="text1"/>
        </w:rPr>
      </w:pPr>
      <w:bookmarkStart w:id="114" w:name="_Toc84149669"/>
      <w:bookmarkStart w:id="115" w:name="_Toc86584633"/>
      <w:r w:rsidRPr="00286323">
        <w:rPr>
          <w:rFonts w:asciiTheme="minorEastAsia" w:eastAsiaTheme="minorEastAsia" w:hAnsiTheme="minorEastAsia" w:cs="Arial"/>
          <w:b w:val="0"/>
          <w:color w:val="000000" w:themeColor="text1"/>
        </w:rPr>
        <w:t>与基金运作相关的费用</w:t>
      </w:r>
      <w:bookmarkEnd w:id="114"/>
      <w:bookmarkEnd w:id="115"/>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1</w:t>
      </w:r>
      <w:r w:rsidRPr="00286323">
        <w:rPr>
          <w:rFonts w:asciiTheme="minorEastAsia" w:eastAsiaTheme="minorEastAsia" w:hAnsiTheme="minorEastAsia" w:cs="Arial" w:hint="eastAsia"/>
          <w:color w:val="000000" w:themeColor="text1"/>
        </w:rPr>
        <w:t>、</w:t>
      </w:r>
      <w:r w:rsidRPr="00286323">
        <w:rPr>
          <w:rFonts w:asciiTheme="minorEastAsia" w:eastAsiaTheme="minorEastAsia" w:hAnsiTheme="minorEastAsia" w:cs="Arial"/>
          <w:color w:val="000000" w:themeColor="text1"/>
        </w:rPr>
        <w:t>基金费用的种类</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（1）基金管理人的管理费；</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（2）基金托管人的托管费；</w:t>
      </w:r>
    </w:p>
    <w:p w:rsidR="00C17CD0"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（3）</w:t>
      </w:r>
      <w:r w:rsidR="00C17CD0" w:rsidRPr="00286323">
        <w:rPr>
          <w:rFonts w:asciiTheme="minorEastAsia" w:eastAsiaTheme="minorEastAsia" w:hAnsiTheme="minorEastAsia" w:cs="Arial" w:hint="eastAsia"/>
          <w:color w:val="000000" w:themeColor="text1"/>
        </w:rPr>
        <w:t>基金合同生效后的标的指数许可使用费；</w:t>
      </w:r>
    </w:p>
    <w:p w:rsidR="001A7CDB" w:rsidRPr="00286323" w:rsidRDefault="00C17CD0"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（4）</w:t>
      </w:r>
      <w:r w:rsidR="001A7CDB" w:rsidRPr="00286323">
        <w:rPr>
          <w:rFonts w:asciiTheme="minorEastAsia" w:eastAsiaTheme="minorEastAsia" w:hAnsiTheme="minorEastAsia" w:cs="Arial" w:hint="eastAsia"/>
          <w:color w:val="000000" w:themeColor="text1"/>
        </w:rPr>
        <w:t>《基金合同》生效后与基金相关的信息披露费用；</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w:t>
      </w:r>
      <w:r w:rsidR="00C17CD0" w:rsidRPr="00286323">
        <w:rPr>
          <w:rFonts w:asciiTheme="minorEastAsia" w:eastAsiaTheme="minorEastAsia" w:hAnsiTheme="minorEastAsia" w:cs="Arial" w:hint="eastAsia"/>
          <w:color w:val="000000" w:themeColor="text1"/>
        </w:rPr>
        <w:t>5</w:t>
      </w:r>
      <w:r w:rsidRPr="00286323">
        <w:rPr>
          <w:rFonts w:asciiTheme="minorEastAsia" w:eastAsiaTheme="minorEastAsia" w:hAnsiTheme="minorEastAsia" w:cs="Arial" w:hint="eastAsia"/>
          <w:color w:val="000000" w:themeColor="text1"/>
        </w:rPr>
        <w:t>）《基金合同》生效后与基金相关的会计师费、律师费和诉讼费；</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w:t>
      </w:r>
      <w:r w:rsidR="00C17CD0" w:rsidRPr="00286323">
        <w:rPr>
          <w:rFonts w:asciiTheme="minorEastAsia" w:eastAsiaTheme="minorEastAsia" w:hAnsiTheme="minorEastAsia" w:cs="Arial" w:hint="eastAsia"/>
          <w:color w:val="000000" w:themeColor="text1"/>
        </w:rPr>
        <w:t>6</w:t>
      </w:r>
      <w:r w:rsidRPr="00286323">
        <w:rPr>
          <w:rFonts w:asciiTheme="minorEastAsia" w:eastAsiaTheme="minorEastAsia" w:hAnsiTheme="minorEastAsia" w:cs="Arial" w:hint="eastAsia"/>
          <w:color w:val="000000" w:themeColor="text1"/>
        </w:rPr>
        <w:t>）基金份额持有人大会费用；</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w:t>
      </w:r>
      <w:r w:rsidR="00C17CD0" w:rsidRPr="00286323">
        <w:rPr>
          <w:rFonts w:asciiTheme="minorEastAsia" w:eastAsiaTheme="minorEastAsia" w:hAnsiTheme="minorEastAsia" w:cs="Arial" w:hint="eastAsia"/>
          <w:color w:val="000000" w:themeColor="text1"/>
        </w:rPr>
        <w:t>7</w:t>
      </w:r>
      <w:r w:rsidRPr="00286323">
        <w:rPr>
          <w:rFonts w:asciiTheme="minorEastAsia" w:eastAsiaTheme="minorEastAsia" w:hAnsiTheme="minorEastAsia" w:cs="Arial" w:hint="eastAsia"/>
          <w:color w:val="000000" w:themeColor="text1"/>
        </w:rPr>
        <w:t>）基金的证券交易费用；</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w:t>
      </w:r>
      <w:r w:rsidR="00C17CD0" w:rsidRPr="00286323">
        <w:rPr>
          <w:rFonts w:asciiTheme="minorEastAsia" w:eastAsiaTheme="minorEastAsia" w:hAnsiTheme="minorEastAsia" w:cs="Arial" w:hint="eastAsia"/>
          <w:color w:val="000000" w:themeColor="text1"/>
        </w:rPr>
        <w:t>8</w:t>
      </w:r>
      <w:r w:rsidRPr="00286323">
        <w:rPr>
          <w:rFonts w:asciiTheme="minorEastAsia" w:eastAsiaTheme="minorEastAsia" w:hAnsiTheme="minorEastAsia" w:cs="Arial" w:hint="eastAsia"/>
          <w:color w:val="000000" w:themeColor="text1"/>
        </w:rPr>
        <w:t>）基金的银行汇划费用；</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w:t>
      </w:r>
      <w:r w:rsidR="00C17CD0" w:rsidRPr="00286323">
        <w:rPr>
          <w:rFonts w:asciiTheme="minorEastAsia" w:eastAsiaTheme="minorEastAsia" w:hAnsiTheme="minorEastAsia" w:cs="Arial" w:hint="eastAsia"/>
          <w:color w:val="000000" w:themeColor="text1"/>
        </w:rPr>
        <w:t>9</w:t>
      </w:r>
      <w:r w:rsidRPr="00286323">
        <w:rPr>
          <w:rFonts w:asciiTheme="minorEastAsia" w:eastAsiaTheme="minorEastAsia" w:hAnsiTheme="minorEastAsia" w:cs="Arial" w:hint="eastAsia"/>
          <w:color w:val="000000" w:themeColor="text1"/>
        </w:rPr>
        <w:t>）证券账户开户费用、银行账户维护费用；</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w:t>
      </w:r>
      <w:r w:rsidR="00C17CD0" w:rsidRPr="00286323">
        <w:rPr>
          <w:rFonts w:asciiTheme="minorEastAsia" w:eastAsiaTheme="minorEastAsia" w:hAnsiTheme="minorEastAsia" w:cs="Arial" w:hint="eastAsia"/>
          <w:color w:val="000000" w:themeColor="text1"/>
        </w:rPr>
        <w:t>10</w:t>
      </w:r>
      <w:r w:rsidRPr="00286323">
        <w:rPr>
          <w:rFonts w:asciiTheme="minorEastAsia" w:eastAsiaTheme="minorEastAsia" w:hAnsiTheme="minorEastAsia" w:cs="Arial" w:hint="eastAsia"/>
          <w:color w:val="000000" w:themeColor="text1"/>
        </w:rPr>
        <w:t>）按照国家有关规定和《基金合同》约定，可以在基金财产中列支的其他费用。</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2</w:t>
      </w:r>
      <w:r w:rsidR="002E5E1A" w:rsidRPr="00286323">
        <w:rPr>
          <w:rFonts w:asciiTheme="minorEastAsia" w:eastAsiaTheme="minorEastAsia" w:hAnsiTheme="minorEastAsia" w:cs="Arial" w:hint="eastAsia"/>
          <w:color w:val="000000" w:themeColor="text1"/>
        </w:rPr>
        <w:t>、</w:t>
      </w:r>
      <w:r w:rsidRPr="00286323">
        <w:rPr>
          <w:rFonts w:asciiTheme="minorEastAsia" w:eastAsiaTheme="minorEastAsia" w:hAnsiTheme="minorEastAsia" w:cs="Arial"/>
          <w:color w:val="000000" w:themeColor="text1"/>
        </w:rPr>
        <w:t>基金费用计提方法、计提标准和支付方式</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（1）基金管理人的管理费</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本基金的管理费按前一日基金资产净值的</w:t>
      </w:r>
      <w:r w:rsidR="00C17CD0" w:rsidRPr="00286323">
        <w:rPr>
          <w:rFonts w:asciiTheme="minorEastAsia" w:eastAsiaTheme="minorEastAsia" w:hAnsiTheme="minorEastAsia" w:cs="Arial" w:hint="eastAsia"/>
          <w:color w:val="000000" w:themeColor="text1"/>
        </w:rPr>
        <w:t>0.8</w:t>
      </w:r>
      <w:r w:rsidRPr="00286323">
        <w:rPr>
          <w:rFonts w:asciiTheme="minorEastAsia" w:eastAsiaTheme="minorEastAsia" w:hAnsiTheme="minorEastAsia" w:cs="Arial" w:hint="eastAsia"/>
          <w:color w:val="000000" w:themeColor="text1"/>
        </w:rPr>
        <w:t>%年费率计提。管理费的计算方法如下：</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H＝E×</w:t>
      </w:r>
      <w:r w:rsidR="00C17CD0" w:rsidRPr="00286323">
        <w:rPr>
          <w:rFonts w:asciiTheme="minorEastAsia" w:eastAsiaTheme="minorEastAsia" w:hAnsiTheme="minorEastAsia" w:cs="Arial" w:hint="eastAsia"/>
          <w:color w:val="000000" w:themeColor="text1"/>
        </w:rPr>
        <w:t>0.8</w:t>
      </w:r>
      <w:r w:rsidRPr="00286323">
        <w:rPr>
          <w:rFonts w:asciiTheme="minorEastAsia" w:eastAsiaTheme="minorEastAsia" w:hAnsiTheme="minorEastAsia" w:cs="Arial" w:hint="eastAsia"/>
          <w:color w:val="000000" w:themeColor="text1"/>
        </w:rPr>
        <w:t>%÷当年天数</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H为每日应计提的基金管理费</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E为前一日的基金资产净值</w:t>
      </w:r>
    </w:p>
    <w:p w:rsidR="001A7CDB" w:rsidRPr="00286323" w:rsidRDefault="00DB0267"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基金管理费每日计提，按月支付。由托管人根据与管理人核对一致的财务数据，自动在月初五个工作日内、按照指定的帐户路径进行资金支付，管理人无需再出具资金划拨指令。若遇法定节假日、休息日等，支付日期顺延。费用自动扣划后，管理人如发现数据不符，及时联系托管人协商解决</w:t>
      </w:r>
      <w:r w:rsidRPr="00286323">
        <w:rPr>
          <w:rFonts w:asciiTheme="minorEastAsia" w:eastAsiaTheme="minorEastAsia" w:hAnsiTheme="minorEastAsia" w:cs="Arial" w:hint="eastAsia"/>
          <w:bCs/>
          <w:color w:val="000000" w:themeColor="text1"/>
        </w:rPr>
        <w:t>。</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（2）基金托管人的托管费</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本基金的托管费按前一日基金资产净值的0.</w:t>
      </w:r>
      <w:r w:rsidR="00C17CD0" w:rsidRPr="00286323">
        <w:rPr>
          <w:rFonts w:asciiTheme="minorEastAsia" w:eastAsiaTheme="minorEastAsia" w:hAnsiTheme="minorEastAsia" w:cs="Arial" w:hint="eastAsia"/>
          <w:color w:val="000000" w:themeColor="text1"/>
        </w:rPr>
        <w:t>15</w:t>
      </w:r>
      <w:r w:rsidRPr="00286323">
        <w:rPr>
          <w:rFonts w:asciiTheme="minorEastAsia" w:eastAsiaTheme="minorEastAsia" w:hAnsiTheme="minorEastAsia" w:cs="Arial" w:hint="eastAsia"/>
          <w:color w:val="000000" w:themeColor="text1"/>
        </w:rPr>
        <w:t>%的年费率计提。托管费的计算方法如下：</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H＝E×0.</w:t>
      </w:r>
      <w:r w:rsidR="00C17CD0" w:rsidRPr="00286323">
        <w:rPr>
          <w:rFonts w:asciiTheme="minorEastAsia" w:eastAsiaTheme="minorEastAsia" w:hAnsiTheme="minorEastAsia" w:cs="Arial" w:hint="eastAsia"/>
          <w:color w:val="000000" w:themeColor="text1"/>
        </w:rPr>
        <w:t>15</w:t>
      </w:r>
      <w:r w:rsidRPr="00286323">
        <w:rPr>
          <w:rFonts w:asciiTheme="minorEastAsia" w:eastAsiaTheme="minorEastAsia" w:hAnsiTheme="minorEastAsia" w:cs="Arial" w:hint="eastAsia"/>
          <w:color w:val="000000" w:themeColor="text1"/>
        </w:rPr>
        <w:t>%÷当年天数</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H为每日应计提的基金托管费</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E为前一日的基金资产净值</w:t>
      </w:r>
    </w:p>
    <w:p w:rsidR="00DB0267" w:rsidRPr="00286323" w:rsidRDefault="00DB0267" w:rsidP="00F71D3B">
      <w:pPr>
        <w:snapToGrid w:val="0"/>
        <w:spacing w:line="360" w:lineRule="auto"/>
        <w:ind w:firstLineChars="200" w:firstLine="420"/>
        <w:rPr>
          <w:rFonts w:asciiTheme="minorEastAsia" w:eastAsiaTheme="minorEastAsia" w:hAnsiTheme="minorEastAsia" w:cs="Arial"/>
          <w:bCs/>
          <w:color w:val="000000" w:themeColor="text1"/>
        </w:rPr>
      </w:pPr>
      <w:r w:rsidRPr="00286323">
        <w:rPr>
          <w:rFonts w:asciiTheme="minorEastAsia" w:eastAsiaTheme="minorEastAsia" w:hAnsiTheme="minorEastAsia" w:cs="Arial" w:hint="eastAsia"/>
          <w:color w:val="000000" w:themeColor="text1"/>
        </w:rPr>
        <w:t>基金托管费每日计提，按月支付。由托管人根据与管理人核对一致的财务数据，自动在月初五个工作日内、按照指定的帐户路径进行资金支付，管理人无需再出具资金划拨指</w:t>
      </w:r>
      <w:r w:rsidRPr="00286323">
        <w:rPr>
          <w:rFonts w:asciiTheme="minorEastAsia" w:eastAsiaTheme="minorEastAsia" w:hAnsiTheme="minorEastAsia" w:cs="Arial" w:hint="eastAsia"/>
          <w:color w:val="000000" w:themeColor="text1"/>
        </w:rPr>
        <w:lastRenderedPageBreak/>
        <w:t>令。若遇法定节假日、休息日等，支付日期顺延。费用自动扣划后，管理人如发现数据不符，及时联系托管人协商解决</w:t>
      </w:r>
      <w:r w:rsidRPr="00286323">
        <w:rPr>
          <w:rFonts w:asciiTheme="minorEastAsia" w:eastAsiaTheme="minorEastAsia" w:hAnsiTheme="minorEastAsia" w:cs="Arial" w:hint="eastAsia"/>
          <w:bCs/>
          <w:color w:val="000000" w:themeColor="text1"/>
        </w:rPr>
        <w:t>。</w:t>
      </w:r>
    </w:p>
    <w:p w:rsidR="00C17CD0" w:rsidRPr="00286323" w:rsidRDefault="00C17CD0"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（3）标的指数许可使用费</w:t>
      </w:r>
    </w:p>
    <w:p w:rsidR="00C17CD0" w:rsidRPr="00286323" w:rsidRDefault="00C17CD0"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基金合同生效后的标的指数许可使用费按照基金管理人与中证指数有限公司签署的指数使用许可协议的约定从基金财产中向中证指数有限公司支付。标的指数使用费按前一日基金资产净值的0.016%的年费率计提。标的指数许可使用费每日计算，逐日累计。</w:t>
      </w:r>
    </w:p>
    <w:p w:rsidR="00C17CD0" w:rsidRPr="00286323" w:rsidRDefault="00C17CD0"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计算方法如下：</w:t>
      </w:r>
    </w:p>
    <w:p w:rsidR="00C17CD0" w:rsidRPr="00286323" w:rsidRDefault="00C17CD0"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H=E×0.016%/当年天数</w:t>
      </w:r>
    </w:p>
    <w:p w:rsidR="00C17CD0" w:rsidRPr="00286323" w:rsidRDefault="00C17CD0"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H为每日应付的标的指数许可使用费，E为前一日的基金资产净值。</w:t>
      </w:r>
    </w:p>
    <w:p w:rsidR="00C17CD0" w:rsidRPr="00286323" w:rsidRDefault="00C17CD0"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标的指数许可使用费的收取下限为每季度人民币伍万元（50，000），计费期间不足一季度的，根据实际天数按比例计算。</w:t>
      </w:r>
    </w:p>
    <w:p w:rsidR="00C17CD0" w:rsidRPr="00286323" w:rsidRDefault="00C17CD0"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中证指数有限公司根据相应指数使用许可协议变更上述标的指数许可使用费费率和计算方法的，本基金按照变更后的费率计提标的指数许可使用费，基金管理人必须依照有关规定最迟于新的费率和计算方式实施日前依照《信息披露办法》的有关规定在</w:t>
      </w:r>
      <w:r w:rsidR="007C4910" w:rsidRPr="00286323">
        <w:rPr>
          <w:rFonts w:asciiTheme="minorEastAsia" w:eastAsiaTheme="minorEastAsia" w:hAnsiTheme="minorEastAsia" w:cs="Arial" w:hint="eastAsia"/>
          <w:color w:val="000000" w:themeColor="text1"/>
        </w:rPr>
        <w:t>指定媒介</w:t>
      </w:r>
      <w:r w:rsidRPr="00286323">
        <w:rPr>
          <w:rFonts w:asciiTheme="minorEastAsia" w:eastAsiaTheme="minorEastAsia" w:hAnsiTheme="minorEastAsia" w:cs="Arial" w:hint="eastAsia"/>
          <w:color w:val="000000" w:themeColor="text1"/>
        </w:rPr>
        <w:t>上公告。</w:t>
      </w:r>
    </w:p>
    <w:p w:rsidR="00C17CD0" w:rsidRPr="00286323" w:rsidRDefault="00C17CD0"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如果中证指数有限公司根据指数使用许可协议的约定要求变更标的指数许可使用费费率和计算方法，应按照变更后的标的指数许可使用费从基金财产中支付给指数许可方。此项变更无需召开基金份额持有人大会。</w:t>
      </w:r>
    </w:p>
    <w:p w:rsidR="00C17CD0" w:rsidRPr="00286323" w:rsidRDefault="00C17CD0"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上述“1、基金费用的种类中第（4）－（9）项费用”，根据有关法规及相应协议规定，按费用实际支出金额列入当期费用，由基金托管人从基金财产中支付。</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3</w:t>
      </w:r>
      <w:r w:rsidRPr="00286323">
        <w:rPr>
          <w:rFonts w:asciiTheme="minorEastAsia" w:eastAsiaTheme="minorEastAsia" w:hAnsiTheme="minorEastAsia" w:cs="Arial" w:hint="eastAsia"/>
          <w:color w:val="000000" w:themeColor="text1"/>
        </w:rPr>
        <w:t>、</w:t>
      </w:r>
      <w:r w:rsidRPr="00286323">
        <w:rPr>
          <w:rFonts w:asciiTheme="minorEastAsia" w:eastAsiaTheme="minorEastAsia" w:hAnsiTheme="minorEastAsia" w:cs="Arial"/>
          <w:color w:val="000000" w:themeColor="text1"/>
        </w:rPr>
        <w:t>不列入基金费用的项目</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（1）基金管理人和基金托管人因未履行或未完全履行义务导致的费用支出或基金财产的损失；</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（2）基金管理人和基金托管人处理与基金运作无关的事项发生的费用；</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（3）《基金合同》生效前的相关费用；</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（4）其他根据相关法律法规及中国证监会的有关规定不得列入基金费用的项目。</w:t>
      </w:r>
    </w:p>
    <w:p w:rsidR="001A7CDB" w:rsidRPr="00286323" w:rsidRDefault="001A7CDB" w:rsidP="00AF46A7">
      <w:pPr>
        <w:pStyle w:val="20"/>
        <w:numPr>
          <w:ilvl w:val="0"/>
          <w:numId w:val="21"/>
        </w:numPr>
        <w:snapToGrid w:val="0"/>
        <w:spacing w:beforeLines="0" w:afterLines="0" w:line="360" w:lineRule="auto"/>
        <w:ind w:leftChars="-135" w:left="0" w:hangingChars="101" w:hanging="283"/>
        <w:rPr>
          <w:rFonts w:asciiTheme="minorEastAsia" w:eastAsiaTheme="minorEastAsia" w:hAnsiTheme="minorEastAsia" w:cs="Arial"/>
          <w:b w:val="0"/>
          <w:color w:val="000000" w:themeColor="text1"/>
        </w:rPr>
      </w:pPr>
      <w:r w:rsidRPr="00286323">
        <w:rPr>
          <w:rFonts w:asciiTheme="minorEastAsia" w:eastAsiaTheme="minorEastAsia" w:hAnsiTheme="minorEastAsia" w:cs="Arial"/>
          <w:b w:val="0"/>
          <w:color w:val="000000" w:themeColor="text1"/>
        </w:rPr>
        <w:t>与基金销售有关的费用</w:t>
      </w:r>
    </w:p>
    <w:p w:rsidR="001A7CDB" w:rsidRPr="00286323" w:rsidRDefault="00DF35A0"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w:t>
      </w:r>
      <w:r w:rsidR="001A7CDB" w:rsidRPr="00286323">
        <w:rPr>
          <w:rFonts w:asciiTheme="minorEastAsia" w:eastAsiaTheme="minorEastAsia" w:hAnsiTheme="minorEastAsia" w:cs="Arial" w:hint="eastAsia"/>
          <w:color w:val="000000" w:themeColor="text1"/>
        </w:rPr>
        <w:t>、</w:t>
      </w:r>
      <w:r w:rsidR="001A7CDB" w:rsidRPr="00286323">
        <w:rPr>
          <w:rFonts w:asciiTheme="minorEastAsia" w:eastAsiaTheme="minorEastAsia" w:hAnsiTheme="minorEastAsia" w:cs="Arial"/>
          <w:color w:val="000000" w:themeColor="text1"/>
        </w:rPr>
        <w:t>本基金申购费、赎回费的费率水平、计算公式、收取方式和使用方式请详见本招募说明书</w:t>
      </w:r>
      <w:r w:rsidRPr="00286323">
        <w:rPr>
          <w:rFonts w:asciiTheme="minorEastAsia" w:eastAsiaTheme="minorEastAsia" w:hAnsiTheme="minorEastAsia" w:cs="Arial" w:hint="eastAsia"/>
          <w:color w:val="000000" w:themeColor="text1"/>
        </w:rPr>
        <w:t>“</w:t>
      </w:r>
      <w:r w:rsidR="001A7CDB" w:rsidRPr="00286323">
        <w:rPr>
          <w:rFonts w:asciiTheme="minorEastAsia" w:eastAsiaTheme="minorEastAsia" w:hAnsiTheme="minorEastAsia" w:cs="Arial"/>
          <w:color w:val="000000" w:themeColor="text1"/>
        </w:rPr>
        <w:t>八、基金份额的申购、赎回</w:t>
      </w:r>
      <w:r w:rsidRPr="00286323">
        <w:rPr>
          <w:rFonts w:asciiTheme="minorEastAsia" w:eastAsiaTheme="minorEastAsia" w:hAnsiTheme="minorEastAsia" w:cs="Arial" w:hint="eastAsia"/>
          <w:color w:val="000000" w:themeColor="text1"/>
        </w:rPr>
        <w:t>”</w:t>
      </w:r>
      <w:r w:rsidR="001A7CDB" w:rsidRPr="00286323">
        <w:rPr>
          <w:rFonts w:asciiTheme="minorEastAsia" w:eastAsiaTheme="minorEastAsia" w:hAnsiTheme="minorEastAsia" w:cs="Arial"/>
          <w:color w:val="000000" w:themeColor="text1"/>
        </w:rPr>
        <w:t>中</w:t>
      </w:r>
      <w:r w:rsidRPr="00286323">
        <w:rPr>
          <w:rFonts w:asciiTheme="minorEastAsia" w:eastAsiaTheme="minorEastAsia" w:hAnsiTheme="minorEastAsia" w:cs="Arial" w:hint="eastAsia"/>
          <w:color w:val="000000" w:themeColor="text1"/>
        </w:rPr>
        <w:t>“</w:t>
      </w:r>
      <w:r w:rsidRPr="00286323">
        <w:rPr>
          <w:rFonts w:asciiTheme="minorEastAsia" w:eastAsiaTheme="minorEastAsia" w:hAnsiTheme="minorEastAsia" w:cs="Arial"/>
          <w:color w:val="000000" w:themeColor="text1"/>
        </w:rPr>
        <w:t>（</w:t>
      </w:r>
      <w:r w:rsidR="001A7CDB" w:rsidRPr="00286323">
        <w:rPr>
          <w:rFonts w:asciiTheme="minorEastAsia" w:eastAsiaTheme="minorEastAsia" w:hAnsiTheme="minorEastAsia" w:cs="Arial"/>
          <w:color w:val="000000" w:themeColor="text1"/>
        </w:rPr>
        <w:t>七）申购、赎回的费率</w:t>
      </w:r>
      <w:r w:rsidRPr="00286323">
        <w:rPr>
          <w:rFonts w:asciiTheme="minorEastAsia" w:eastAsiaTheme="minorEastAsia" w:hAnsiTheme="minorEastAsia" w:cs="Arial" w:hint="eastAsia"/>
          <w:color w:val="000000" w:themeColor="text1"/>
        </w:rPr>
        <w:t>”</w:t>
      </w:r>
      <w:r w:rsidR="001A7CDB" w:rsidRPr="00286323">
        <w:rPr>
          <w:rFonts w:asciiTheme="minorEastAsia" w:eastAsiaTheme="minorEastAsia" w:hAnsiTheme="minorEastAsia" w:cs="Arial"/>
          <w:color w:val="000000" w:themeColor="text1"/>
        </w:rPr>
        <w:t>与</w:t>
      </w:r>
      <w:r w:rsidRPr="00286323">
        <w:rPr>
          <w:rFonts w:asciiTheme="minorEastAsia" w:eastAsiaTheme="minorEastAsia" w:hAnsiTheme="minorEastAsia" w:cs="Arial" w:hint="eastAsia"/>
          <w:color w:val="000000" w:themeColor="text1"/>
        </w:rPr>
        <w:t>“</w:t>
      </w:r>
      <w:r w:rsidRPr="00286323">
        <w:rPr>
          <w:rFonts w:asciiTheme="minorEastAsia" w:eastAsiaTheme="minorEastAsia" w:hAnsiTheme="minorEastAsia" w:cs="Arial"/>
          <w:color w:val="000000" w:themeColor="text1"/>
        </w:rPr>
        <w:t>（</w:t>
      </w:r>
      <w:r w:rsidR="001A7CDB" w:rsidRPr="00286323">
        <w:rPr>
          <w:rFonts w:asciiTheme="minorEastAsia" w:eastAsiaTheme="minorEastAsia" w:hAnsiTheme="minorEastAsia" w:cs="Arial"/>
          <w:color w:val="000000" w:themeColor="text1"/>
        </w:rPr>
        <w:t>八）申购份额、赎回金额的计算方式</w:t>
      </w:r>
      <w:r w:rsidRPr="00286323">
        <w:rPr>
          <w:rFonts w:asciiTheme="minorEastAsia" w:eastAsiaTheme="minorEastAsia" w:hAnsiTheme="minorEastAsia" w:cs="Arial" w:hint="eastAsia"/>
          <w:color w:val="000000" w:themeColor="text1"/>
        </w:rPr>
        <w:t>”</w:t>
      </w:r>
      <w:r w:rsidR="001A7CDB" w:rsidRPr="00286323">
        <w:rPr>
          <w:rFonts w:asciiTheme="minorEastAsia" w:eastAsiaTheme="minorEastAsia" w:hAnsiTheme="minorEastAsia" w:cs="Arial"/>
          <w:color w:val="000000" w:themeColor="text1"/>
        </w:rPr>
        <w:t>中的相关规定。</w:t>
      </w:r>
    </w:p>
    <w:p w:rsidR="001A7CDB" w:rsidRPr="00286323" w:rsidRDefault="00DF35A0" w:rsidP="00F71D3B">
      <w:pPr>
        <w:snapToGrid w:val="0"/>
        <w:spacing w:line="360" w:lineRule="auto"/>
        <w:ind w:firstLineChars="200" w:firstLine="420"/>
        <w:rPr>
          <w:rFonts w:asciiTheme="minorEastAsia" w:eastAsiaTheme="minorEastAsia" w:hAnsiTheme="minorEastAsia" w:cs="Arial"/>
          <w:color w:val="000000" w:themeColor="text1"/>
        </w:rPr>
      </w:pPr>
      <w:bookmarkStart w:id="116" w:name="_Toc84149673"/>
      <w:bookmarkStart w:id="117" w:name="_Toc86584637"/>
      <w:r w:rsidRPr="00286323">
        <w:rPr>
          <w:rFonts w:asciiTheme="minorEastAsia" w:eastAsiaTheme="minorEastAsia" w:hAnsiTheme="minorEastAsia" w:cs="Arial" w:hint="eastAsia"/>
          <w:color w:val="000000" w:themeColor="text1"/>
        </w:rPr>
        <w:t>2</w:t>
      </w:r>
      <w:r w:rsidR="001A7CDB" w:rsidRPr="00286323">
        <w:rPr>
          <w:rFonts w:asciiTheme="minorEastAsia" w:eastAsiaTheme="minorEastAsia" w:hAnsiTheme="minorEastAsia" w:cs="Arial" w:hint="eastAsia"/>
          <w:color w:val="000000" w:themeColor="text1"/>
        </w:rPr>
        <w:t>、</w:t>
      </w:r>
      <w:r w:rsidR="001A7CDB" w:rsidRPr="00286323">
        <w:rPr>
          <w:rFonts w:asciiTheme="minorEastAsia" w:eastAsiaTheme="minorEastAsia" w:hAnsiTheme="minorEastAsia" w:cs="Arial"/>
          <w:color w:val="000000" w:themeColor="text1"/>
        </w:rPr>
        <w:t>转换费率</w:t>
      </w:r>
    </w:p>
    <w:p w:rsidR="001A7CDB" w:rsidRPr="00286323" w:rsidRDefault="00D35881"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hint="eastAsia"/>
          <w:color w:val="000000" w:themeColor="text1"/>
        </w:rPr>
        <w:lastRenderedPageBreak/>
        <w:t>目前，基金管理人已开通了本基金与旗下部分开放式基金之间的转换业务，具体实施办法和转换费率详见相关公告。基金转换费用由投资者承担，基金转换费用由转出基金赎回费用和基金申购补差费用构成，其中转出基金赎回费按照</w:t>
      </w:r>
      <w:r w:rsidR="005E257B" w:rsidRPr="00286323">
        <w:rPr>
          <w:rFonts w:asciiTheme="minorEastAsia" w:eastAsiaTheme="minorEastAsia" w:hAnsiTheme="minorEastAsia" w:hint="eastAsia"/>
          <w:color w:val="000000" w:themeColor="text1"/>
        </w:rPr>
        <w:t>各基金的</w:t>
      </w:r>
      <w:r w:rsidRPr="00286323">
        <w:rPr>
          <w:rFonts w:asciiTheme="minorEastAsia" w:eastAsiaTheme="minorEastAsia" w:hAnsiTheme="minorEastAsia" w:hint="eastAsia"/>
          <w:color w:val="000000" w:themeColor="text1"/>
        </w:rPr>
        <w:t>基金合同、更新的招募说明书及最新的相关公告约定的比例归入基金财产，其余部分用于支付注册登记费等相关手续费。</w:t>
      </w:r>
      <w:r w:rsidRPr="00286323">
        <w:rPr>
          <w:rFonts w:asciiTheme="minorEastAsia" w:eastAsiaTheme="minorEastAsia" w:hAnsiTheme="minorEastAsia"/>
          <w:color w:val="000000" w:themeColor="text1"/>
        </w:rPr>
        <w:t>转换费用以人民币元为单位，计算结果按照四舍五入方法，保留小数点后两位</w:t>
      </w:r>
      <w:r w:rsidRPr="00286323">
        <w:rPr>
          <w:rFonts w:asciiTheme="minorEastAsia" w:eastAsiaTheme="minorEastAsia" w:hAnsiTheme="minorEastAsia" w:hint="eastAsia"/>
          <w:color w:val="000000" w:themeColor="text1"/>
        </w:rPr>
        <w:t>。</w:t>
      </w:r>
    </w:p>
    <w:p w:rsidR="001531E0" w:rsidRPr="00286323" w:rsidRDefault="00DF35A0"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3</w:t>
      </w:r>
      <w:r w:rsidR="001A7CDB" w:rsidRPr="00286323">
        <w:rPr>
          <w:rFonts w:asciiTheme="minorEastAsia" w:eastAsiaTheme="minorEastAsia" w:hAnsiTheme="minorEastAsia" w:cs="Arial" w:hint="eastAsia"/>
          <w:color w:val="000000" w:themeColor="text1"/>
        </w:rPr>
        <w:t>、</w:t>
      </w:r>
      <w:r w:rsidR="001531E0" w:rsidRPr="00286323">
        <w:rPr>
          <w:rFonts w:asciiTheme="minorEastAsia" w:eastAsiaTheme="minorEastAsia" w:hAnsiTheme="minorEastAsia" w:hint="eastAsia"/>
          <w:color w:val="000000" w:themeColor="text1"/>
        </w:rPr>
        <w:t>投资者通过本公司网上交易系统（www.efunds.com.cn）进行申购、赎回和转换的交易费率，请具体参照我公司网站上的相关说明。</w:t>
      </w:r>
    </w:p>
    <w:p w:rsidR="00B52AA9" w:rsidRPr="00286323" w:rsidRDefault="00B52AA9"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4、</w:t>
      </w:r>
      <w:r w:rsidR="001531E0" w:rsidRPr="00286323">
        <w:rPr>
          <w:rFonts w:asciiTheme="minorEastAsia" w:eastAsiaTheme="minorEastAsia" w:hAnsiTheme="minorEastAsia" w:cs="Arial"/>
          <w:color w:val="000000" w:themeColor="text1"/>
        </w:rPr>
        <w:t>基金管理人可以根据《基金合同》的相关约定调整上述费率或收费方式。上述费率如发生变更，基金管理人应按照《信息披露办法》或其他相关规定于新的费率或收费方式实施前在</w:t>
      </w:r>
      <w:r w:rsidR="007C4910" w:rsidRPr="00286323">
        <w:rPr>
          <w:rFonts w:asciiTheme="minorEastAsia" w:eastAsiaTheme="minorEastAsia" w:hAnsiTheme="minorEastAsia" w:cs="Arial" w:hint="eastAsia"/>
          <w:color w:val="000000" w:themeColor="text1"/>
        </w:rPr>
        <w:t>指定媒介</w:t>
      </w:r>
      <w:r w:rsidR="001531E0" w:rsidRPr="00286323">
        <w:rPr>
          <w:rFonts w:asciiTheme="minorEastAsia" w:eastAsiaTheme="minorEastAsia" w:hAnsiTheme="minorEastAsia" w:cs="Arial"/>
          <w:color w:val="000000" w:themeColor="text1"/>
        </w:rPr>
        <w:t>公告。</w:t>
      </w:r>
    </w:p>
    <w:p w:rsidR="001A7CDB" w:rsidRPr="00286323" w:rsidRDefault="00B52AA9"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5、</w:t>
      </w:r>
      <w:r w:rsidR="00A849CB" w:rsidRPr="00286323">
        <w:rPr>
          <w:rFonts w:asciiTheme="minorEastAsia" w:eastAsiaTheme="minorEastAsia" w:hAnsiTheme="minorEastAsia" w:cs="Arial" w:hint="eastAsia"/>
          <w:color w:val="000000" w:themeColor="text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1A7CDB" w:rsidRPr="00286323" w:rsidRDefault="001A7CDB" w:rsidP="00AF46A7">
      <w:pPr>
        <w:pStyle w:val="20"/>
        <w:numPr>
          <w:ilvl w:val="0"/>
          <w:numId w:val="21"/>
        </w:numPr>
        <w:snapToGrid w:val="0"/>
        <w:spacing w:beforeLines="0" w:afterLines="0" w:line="360" w:lineRule="auto"/>
        <w:ind w:leftChars="-67" w:left="-1" w:hangingChars="50" w:hanging="140"/>
        <w:rPr>
          <w:rFonts w:asciiTheme="minorEastAsia" w:eastAsiaTheme="minorEastAsia" w:hAnsiTheme="minorEastAsia" w:cs="Arial"/>
          <w:b w:val="0"/>
          <w:color w:val="000000" w:themeColor="text1"/>
        </w:rPr>
      </w:pPr>
      <w:r w:rsidRPr="00286323">
        <w:rPr>
          <w:rFonts w:asciiTheme="minorEastAsia" w:eastAsiaTheme="minorEastAsia" w:hAnsiTheme="minorEastAsia" w:cs="Arial"/>
          <w:b w:val="0"/>
          <w:color w:val="000000" w:themeColor="text1"/>
        </w:rPr>
        <w:t>基金税收</w:t>
      </w:r>
      <w:bookmarkEnd w:id="116"/>
      <w:bookmarkEnd w:id="117"/>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本基金运作过程中涉及的各纳税主体，其纳税义务按国家税收法律、法规执行。</w:t>
      </w:r>
    </w:p>
    <w:p w:rsidR="001A7CDB" w:rsidRPr="00286323" w:rsidRDefault="001A7CDB" w:rsidP="00F71D3B">
      <w:pPr>
        <w:pStyle w:val="11"/>
        <w:numPr>
          <w:ilvl w:val="0"/>
          <w:numId w:val="9"/>
        </w:numPr>
        <w:snapToGrid w:val="0"/>
        <w:spacing w:beforeLines="0" w:afterLines="0" w:line="360" w:lineRule="auto"/>
        <w:ind w:firstLineChars="0"/>
        <w:rPr>
          <w:rFonts w:asciiTheme="minorEastAsia" w:eastAsiaTheme="minorEastAsia" w:hAnsiTheme="minorEastAsia" w:cs="Arial"/>
          <w:bCs/>
          <w:color w:val="000000" w:themeColor="text1"/>
        </w:rPr>
      </w:pPr>
      <w:bookmarkStart w:id="118" w:name="_Toc81922651"/>
      <w:r w:rsidRPr="00286323">
        <w:rPr>
          <w:rFonts w:asciiTheme="minorEastAsia" w:eastAsiaTheme="minorEastAsia" w:hAnsiTheme="minorEastAsia" w:cs="Arial" w:hint="eastAsia"/>
          <w:bCs/>
          <w:color w:val="000000" w:themeColor="text1"/>
        </w:rPr>
        <w:lastRenderedPageBreak/>
        <w:t>基金的会计与审计</w:t>
      </w:r>
      <w:bookmarkEnd w:id="118"/>
    </w:p>
    <w:p w:rsidR="001A7CDB" w:rsidRPr="00286323" w:rsidRDefault="001A7CDB" w:rsidP="00AF46A7">
      <w:pPr>
        <w:pStyle w:val="20"/>
        <w:numPr>
          <w:ilvl w:val="0"/>
          <w:numId w:val="22"/>
        </w:numPr>
        <w:snapToGrid w:val="0"/>
        <w:spacing w:beforeLines="0" w:afterLines="0" w:line="360" w:lineRule="auto"/>
        <w:ind w:leftChars="-67" w:left="-1" w:hangingChars="50" w:hanging="140"/>
        <w:rPr>
          <w:rFonts w:asciiTheme="minorEastAsia" w:eastAsiaTheme="minorEastAsia" w:hAnsiTheme="minorEastAsia" w:cs="Arial"/>
          <w:b w:val="0"/>
          <w:color w:val="000000" w:themeColor="text1"/>
        </w:rPr>
      </w:pPr>
      <w:r w:rsidRPr="00286323">
        <w:rPr>
          <w:rFonts w:asciiTheme="minorEastAsia" w:eastAsiaTheme="minorEastAsia" w:hAnsiTheme="minorEastAsia" w:cs="Arial"/>
          <w:b w:val="0"/>
          <w:color w:val="000000" w:themeColor="text1"/>
        </w:rPr>
        <w:t>基金会计政策</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1、基金管理人为本基金的基金会计责任方；</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2、基金的会计年度为公历年度的1月1日至12月31日；基金首次募集的会计年度按如下原则：如果《基金合同》生效少于2个月，可以并入下一个会计年度；</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3、基金核算以人民币为记账本位币，以人民币元为记账单位；</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4、会计制度执行国家有关会计制度；</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5、本基金独立建账、独立核算；</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6、基金管理人及基金托管人各自保留完整的会计账目、凭证并进行日常的会计核算，按照有关规定编制基金会计报表；</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sz w:val="24"/>
        </w:rPr>
      </w:pPr>
      <w:r w:rsidRPr="00286323">
        <w:rPr>
          <w:rFonts w:asciiTheme="minorEastAsia" w:eastAsiaTheme="minorEastAsia" w:hAnsiTheme="minorEastAsia"/>
          <w:bCs/>
          <w:color w:val="000000" w:themeColor="text1"/>
        </w:rPr>
        <w:t>7、基金托管人每月与基金管理人就基金的会计核算、报表编制等进行核对并以书面方式确认。</w:t>
      </w:r>
    </w:p>
    <w:p w:rsidR="001A7CDB" w:rsidRPr="00286323" w:rsidRDefault="001A7CDB" w:rsidP="00AF46A7">
      <w:pPr>
        <w:pStyle w:val="20"/>
        <w:numPr>
          <w:ilvl w:val="0"/>
          <w:numId w:val="22"/>
        </w:numPr>
        <w:snapToGrid w:val="0"/>
        <w:spacing w:beforeLines="0" w:afterLines="0" w:line="360" w:lineRule="auto"/>
        <w:ind w:leftChars="-67" w:left="-1" w:hangingChars="50" w:hanging="140"/>
        <w:rPr>
          <w:rFonts w:asciiTheme="minorEastAsia" w:eastAsiaTheme="minorEastAsia" w:hAnsiTheme="minorEastAsia" w:cs="Arial"/>
          <w:b w:val="0"/>
          <w:color w:val="000000" w:themeColor="text1"/>
        </w:rPr>
      </w:pPr>
      <w:r w:rsidRPr="00286323">
        <w:rPr>
          <w:rFonts w:asciiTheme="minorEastAsia" w:eastAsiaTheme="minorEastAsia" w:hAnsiTheme="minorEastAsia" w:cs="Arial"/>
          <w:b w:val="0"/>
          <w:color w:val="000000" w:themeColor="text1"/>
        </w:rPr>
        <w:t>基金的</w:t>
      </w:r>
      <w:r w:rsidR="006F6B75" w:rsidRPr="00286323">
        <w:rPr>
          <w:rFonts w:asciiTheme="minorEastAsia" w:eastAsiaTheme="minorEastAsia" w:hAnsiTheme="minorEastAsia" w:cs="Arial" w:hint="eastAsia"/>
          <w:b w:val="0"/>
          <w:color w:val="000000" w:themeColor="text1"/>
        </w:rPr>
        <w:t>年度</w:t>
      </w:r>
      <w:r w:rsidRPr="00286323">
        <w:rPr>
          <w:rFonts w:asciiTheme="minorEastAsia" w:eastAsiaTheme="minorEastAsia" w:hAnsiTheme="minorEastAsia" w:cs="Arial"/>
          <w:b w:val="0"/>
          <w:color w:val="000000" w:themeColor="text1"/>
        </w:rPr>
        <w:t>审计</w:t>
      </w:r>
    </w:p>
    <w:p w:rsidR="00C45019" w:rsidRPr="00286323" w:rsidRDefault="00C45019"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1</w:t>
      </w:r>
      <w:r w:rsidRPr="00286323">
        <w:rPr>
          <w:rFonts w:asciiTheme="minorEastAsia" w:eastAsiaTheme="minorEastAsia" w:hAnsiTheme="minorEastAsia" w:hint="eastAsia"/>
          <w:bCs/>
          <w:color w:val="000000" w:themeColor="text1"/>
        </w:rPr>
        <w:t>、基金管理人聘请与基金管理人、基金托管人相互独立的具有证券、期货相关业务资格的会计师事务所及其注册会计师对本基金的年度财务报表进行审计。</w:t>
      </w:r>
    </w:p>
    <w:p w:rsidR="00C45019" w:rsidRPr="00286323" w:rsidRDefault="00C45019"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2</w:t>
      </w:r>
      <w:r w:rsidRPr="00286323">
        <w:rPr>
          <w:rFonts w:asciiTheme="minorEastAsia" w:eastAsiaTheme="minorEastAsia" w:hAnsiTheme="minorEastAsia" w:hint="eastAsia"/>
          <w:bCs/>
          <w:color w:val="000000" w:themeColor="text1"/>
        </w:rPr>
        <w:t>、会计师事务所更换经办注册会计师，应事先征得基金管理人同意。</w:t>
      </w:r>
    </w:p>
    <w:p w:rsidR="00C45019" w:rsidRPr="00286323" w:rsidRDefault="00C45019"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3</w:t>
      </w:r>
      <w:r w:rsidRPr="00286323">
        <w:rPr>
          <w:rFonts w:asciiTheme="minorEastAsia" w:eastAsiaTheme="minorEastAsia" w:hAnsiTheme="minorEastAsia" w:hint="eastAsia"/>
          <w:bCs/>
          <w:color w:val="000000" w:themeColor="text1"/>
        </w:rPr>
        <w:t>、基金管理人认为有充足理由更换会计师事务所，须通报基金托管人。更换会计师事务所需在</w:t>
      </w:r>
      <w:r w:rsidRPr="00286323">
        <w:rPr>
          <w:rFonts w:asciiTheme="minorEastAsia" w:eastAsiaTheme="minorEastAsia" w:hAnsiTheme="minorEastAsia"/>
          <w:bCs/>
          <w:color w:val="000000" w:themeColor="text1"/>
        </w:rPr>
        <w:t>2</w:t>
      </w:r>
      <w:r w:rsidRPr="00286323">
        <w:rPr>
          <w:rFonts w:asciiTheme="minorEastAsia" w:eastAsiaTheme="minorEastAsia" w:hAnsiTheme="minorEastAsia" w:hint="eastAsia"/>
          <w:bCs/>
          <w:color w:val="000000" w:themeColor="text1"/>
        </w:rPr>
        <w:t>日内在指定媒介公告。</w:t>
      </w:r>
    </w:p>
    <w:p w:rsidR="001A7CDB" w:rsidRPr="00286323" w:rsidRDefault="001A7CDB" w:rsidP="00F71D3B">
      <w:pPr>
        <w:pStyle w:val="11"/>
        <w:numPr>
          <w:ilvl w:val="0"/>
          <w:numId w:val="9"/>
        </w:numPr>
        <w:snapToGrid w:val="0"/>
        <w:spacing w:beforeLines="0" w:afterLines="0" w:line="360" w:lineRule="auto"/>
        <w:ind w:firstLineChars="0"/>
        <w:rPr>
          <w:rFonts w:asciiTheme="minorEastAsia" w:eastAsiaTheme="minorEastAsia" w:hAnsiTheme="minorEastAsia" w:cs="Arial"/>
          <w:bCs/>
          <w:color w:val="000000" w:themeColor="text1"/>
          <w:szCs w:val="21"/>
        </w:rPr>
      </w:pPr>
      <w:bookmarkStart w:id="119" w:name="_Toc28099463"/>
      <w:bookmarkStart w:id="120" w:name="_Toc28099464"/>
      <w:bookmarkStart w:id="121" w:name="_Hlt4221115"/>
      <w:bookmarkStart w:id="122" w:name="_Toc28099465"/>
      <w:bookmarkStart w:id="123" w:name="_Toc81922652"/>
      <w:bookmarkEnd w:id="119"/>
      <w:bookmarkEnd w:id="120"/>
      <w:bookmarkEnd w:id="121"/>
      <w:bookmarkEnd w:id="122"/>
      <w:r w:rsidRPr="00286323">
        <w:rPr>
          <w:rFonts w:asciiTheme="minorEastAsia" w:eastAsiaTheme="minorEastAsia" w:hAnsiTheme="minorEastAsia" w:cs="Arial" w:hint="eastAsia"/>
          <w:bCs/>
          <w:color w:val="000000" w:themeColor="text1"/>
          <w:szCs w:val="21"/>
        </w:rPr>
        <w:lastRenderedPageBreak/>
        <w:t>基金的信息披露</w:t>
      </w:r>
      <w:bookmarkEnd w:id="123"/>
    </w:p>
    <w:p w:rsidR="00375699"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一</w:t>
      </w: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本基金的信息披露应符合《基金法》、《运作办法》、《信息披露办法》、《基金合同》及其他有关规定。</w:t>
      </w:r>
      <w:r w:rsidR="00375699" w:rsidRPr="00286323">
        <w:rPr>
          <w:rFonts w:asciiTheme="minorEastAsia" w:eastAsiaTheme="minorEastAsia" w:hAnsiTheme="minorEastAsia" w:hint="eastAsia"/>
          <w:bCs/>
          <w:color w:val="000000" w:themeColor="text1"/>
        </w:rPr>
        <w:t>相关法律法规关于信息披露的披露方式、登载媒</w:t>
      </w:r>
      <w:r w:rsidR="00AD72E8" w:rsidRPr="00286323">
        <w:rPr>
          <w:rFonts w:asciiTheme="minorEastAsia" w:eastAsiaTheme="minorEastAsia" w:hAnsiTheme="minorEastAsia" w:hint="eastAsia"/>
          <w:bCs/>
          <w:color w:val="000000" w:themeColor="text1"/>
        </w:rPr>
        <w:t>介</w:t>
      </w:r>
      <w:r w:rsidR="00375699" w:rsidRPr="00286323">
        <w:rPr>
          <w:rFonts w:asciiTheme="minorEastAsia" w:eastAsiaTheme="minorEastAsia" w:hAnsiTheme="minorEastAsia" w:hint="eastAsia"/>
          <w:bCs/>
          <w:color w:val="000000" w:themeColor="text1"/>
        </w:rPr>
        <w:t>、报备方式等规定发生变化时，本基金从其最新规定。</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二</w:t>
      </w: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信息披露义务人</w:t>
      </w:r>
    </w:p>
    <w:p w:rsidR="00AD72E8" w:rsidRPr="00286323" w:rsidRDefault="00AD72E8"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本基金信息披露义务人包括基金管理人、基金托管人、召集基金份额持有人大会的基金份额持有人等法律、行政法规和中国证监会规定的自然人、法人和非法人组织。</w:t>
      </w:r>
    </w:p>
    <w:p w:rsidR="00AD72E8" w:rsidRPr="00286323" w:rsidRDefault="00AD72E8"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本基金信息披露义务人以保护基金份额持有人利益为根本出发点，按照法律法规和中国证监会的规定披露基金信息，并保证所披露信息的真实性、准确性、完整性、及时性、简明性和易得性。</w:t>
      </w:r>
    </w:p>
    <w:p w:rsidR="00AD72E8" w:rsidRPr="00286323" w:rsidRDefault="00AD72E8"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三</w:t>
      </w: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本基金信息披露义务人承诺公开披露的基金信息，不得有下列行为：</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1、虚假记载、误导性陈述或者重大遗漏；</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2、对证券投资业绩进行预测；</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3、违规承诺收益或者承担损失；</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4、诋毁其他基金管理人、基金托管人或者基金销售机构；</w:t>
      </w:r>
    </w:p>
    <w:p w:rsidR="00AD72E8" w:rsidRPr="00286323" w:rsidRDefault="00AD72E8"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5</w:t>
      </w:r>
      <w:r w:rsidRPr="00286323">
        <w:rPr>
          <w:rFonts w:asciiTheme="minorEastAsia" w:eastAsiaTheme="minorEastAsia" w:hAnsiTheme="minorEastAsia" w:hint="eastAsia"/>
          <w:bCs/>
          <w:color w:val="000000" w:themeColor="text1"/>
        </w:rPr>
        <w:t>、登载任何自然人、法人和非法人组织的祝贺性、恭维性或推荐性的文字；</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6、中国证监会禁止的其他行为。</w:t>
      </w:r>
    </w:p>
    <w:p w:rsidR="00AD72E8" w:rsidRPr="00286323" w:rsidRDefault="001A7CDB"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四</w:t>
      </w: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本基金公开披露的信息应采用中文文本。</w:t>
      </w:r>
      <w:r w:rsidR="00AD72E8" w:rsidRPr="00286323">
        <w:rPr>
          <w:rFonts w:asciiTheme="minorEastAsia" w:eastAsiaTheme="minorEastAsia" w:hAnsiTheme="minorEastAsia" w:hint="eastAsia"/>
          <w:bCs/>
          <w:color w:val="000000" w:themeColor="text1"/>
        </w:rPr>
        <w:t>如同时采用外文文本的，基金信息披露义务人应保证不同文本的内容一致。不同文本之间发生歧义的，以中文文本为准。</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本基金公开披露的信息采用阿拉伯数字；除特别说明外，货币单位为人民币元。</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五</w:t>
      </w: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公开披露的基金信息</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公开披露的基金信息包括：</w:t>
      </w:r>
    </w:p>
    <w:p w:rsidR="00AD72E8" w:rsidRPr="00286323" w:rsidRDefault="001A7CDB" w:rsidP="00AD72E8">
      <w:pPr>
        <w:spacing w:line="360" w:lineRule="auto"/>
        <w:ind w:firstLineChars="200" w:firstLine="420"/>
        <w:rPr>
          <w:rFonts w:asciiTheme="minorEastAsia" w:eastAsiaTheme="minorEastAsia" w:hAnsiTheme="minorEastAsia"/>
          <w:bCs/>
          <w:color w:val="000000" w:themeColor="text1"/>
          <w:sz w:val="24"/>
        </w:rPr>
      </w:pPr>
      <w:r w:rsidRPr="00286323">
        <w:rPr>
          <w:rFonts w:asciiTheme="minorEastAsia" w:eastAsiaTheme="minorEastAsia" w:hAnsiTheme="minorEastAsia" w:hint="eastAsia"/>
          <w:bCs/>
          <w:color w:val="000000" w:themeColor="text1"/>
        </w:rPr>
        <w:t>1、</w:t>
      </w:r>
      <w:r w:rsidRPr="00286323">
        <w:rPr>
          <w:rFonts w:asciiTheme="minorEastAsia" w:eastAsiaTheme="minorEastAsia" w:hAnsiTheme="minorEastAsia"/>
          <w:bCs/>
          <w:color w:val="000000" w:themeColor="text1"/>
        </w:rPr>
        <w:t>基金招募说明书、《基金合同》、基金托管协议</w:t>
      </w:r>
      <w:r w:rsidR="00AD72E8" w:rsidRPr="00286323">
        <w:rPr>
          <w:rFonts w:asciiTheme="minorEastAsia" w:eastAsiaTheme="minorEastAsia" w:hAnsiTheme="minorEastAsia" w:hint="eastAsia"/>
          <w:bCs/>
          <w:color w:val="000000" w:themeColor="text1"/>
          <w:sz w:val="24"/>
          <w:szCs w:val="20"/>
        </w:rPr>
        <w:t>、基金产品资料概要</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1</w:t>
      </w: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《基金合同》是界定《基金合同》当事人的各项权利、义务关系，明确基金份额持有人大会召开的规则及具体程序，说明基金产品的特性等涉及基金投资</w:t>
      </w:r>
      <w:r w:rsidR="00EC0772" w:rsidRPr="00286323">
        <w:rPr>
          <w:rFonts w:asciiTheme="minorEastAsia" w:eastAsiaTheme="minorEastAsia" w:hAnsiTheme="minorEastAsia" w:hint="eastAsia"/>
          <w:bCs/>
          <w:color w:val="000000" w:themeColor="text1"/>
        </w:rPr>
        <w:t>者</w:t>
      </w:r>
      <w:r w:rsidRPr="00286323">
        <w:rPr>
          <w:rFonts w:asciiTheme="minorEastAsia" w:eastAsiaTheme="minorEastAsia" w:hAnsiTheme="minorEastAsia"/>
          <w:bCs/>
          <w:color w:val="000000" w:themeColor="text1"/>
        </w:rPr>
        <w:t>重大利益的事项的法律文件。</w:t>
      </w:r>
    </w:p>
    <w:p w:rsidR="00AD72E8" w:rsidRPr="00286323" w:rsidRDefault="001A7CDB" w:rsidP="00AD72E8">
      <w:pPr>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2</w:t>
      </w: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基金招募说明书应当最大限度地披露影响基金投资</w:t>
      </w:r>
      <w:r w:rsidR="00EC0772" w:rsidRPr="00286323">
        <w:rPr>
          <w:rFonts w:asciiTheme="minorEastAsia" w:eastAsiaTheme="minorEastAsia" w:hAnsiTheme="minorEastAsia" w:hint="eastAsia"/>
          <w:bCs/>
          <w:color w:val="000000" w:themeColor="text1"/>
        </w:rPr>
        <w:t>者</w:t>
      </w:r>
      <w:r w:rsidRPr="00286323">
        <w:rPr>
          <w:rFonts w:asciiTheme="minorEastAsia" w:eastAsiaTheme="minorEastAsia" w:hAnsiTheme="minorEastAsia"/>
          <w:bCs/>
          <w:color w:val="000000" w:themeColor="text1"/>
        </w:rPr>
        <w:t>决策的全部事项，说明基金认购、申购和赎回安排、基金投资、基金产品特性、风险揭示、信息披露及基金份额持有</w:t>
      </w:r>
      <w:r w:rsidRPr="00286323">
        <w:rPr>
          <w:rFonts w:asciiTheme="minorEastAsia" w:eastAsiaTheme="minorEastAsia" w:hAnsiTheme="minorEastAsia"/>
          <w:bCs/>
          <w:color w:val="000000" w:themeColor="text1"/>
        </w:rPr>
        <w:lastRenderedPageBreak/>
        <w:t>人服务等内容。</w:t>
      </w:r>
      <w:r w:rsidR="00AD72E8" w:rsidRPr="00286323">
        <w:rPr>
          <w:rFonts w:asciiTheme="minorEastAsia" w:eastAsiaTheme="minorEastAsia" w:hAnsiTheme="minorEastAsia" w:hint="eastAsia"/>
          <w:bCs/>
          <w:color w:val="000000" w:themeColor="text1"/>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3</w:t>
      </w: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基金托管协议是界定基金托管人和基金管理人在基金财产保管及基金运作监督等活动中的权利、义务关系的法律文件。</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基金募集申请经中国证监会核准后，基金管理人在基金份额发售的3日前，将基金招募说明书、《基金合同》摘要登载在</w:t>
      </w:r>
      <w:r w:rsidR="007C4910" w:rsidRPr="00286323">
        <w:rPr>
          <w:rFonts w:asciiTheme="minorEastAsia" w:eastAsiaTheme="minorEastAsia" w:hAnsiTheme="minorEastAsia" w:cs="Arial" w:hint="eastAsia"/>
          <w:color w:val="000000" w:themeColor="text1"/>
        </w:rPr>
        <w:t>指定媒介</w:t>
      </w:r>
      <w:r w:rsidRPr="00286323">
        <w:rPr>
          <w:rFonts w:asciiTheme="minorEastAsia" w:eastAsiaTheme="minorEastAsia" w:hAnsiTheme="minorEastAsia"/>
          <w:bCs/>
          <w:color w:val="000000" w:themeColor="text1"/>
        </w:rPr>
        <w:t>上；基金管理人、基金托管人应当将《基金合同》、基金托管协议登载在网站上。</w:t>
      </w:r>
    </w:p>
    <w:p w:rsidR="00AD72E8" w:rsidRPr="00286323" w:rsidRDefault="00AD72E8"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4</w:t>
      </w:r>
      <w:r w:rsidRPr="00286323">
        <w:rPr>
          <w:rFonts w:asciiTheme="minorEastAsia" w:eastAsiaTheme="minorEastAsia" w:hAnsiTheme="minorEastAsia" w:hint="eastAsia"/>
          <w:bCs/>
          <w:color w:val="000000" w:themeColor="text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2、</w:t>
      </w:r>
      <w:r w:rsidRPr="00286323">
        <w:rPr>
          <w:rFonts w:asciiTheme="minorEastAsia" w:eastAsiaTheme="minorEastAsia" w:hAnsiTheme="minorEastAsia"/>
          <w:bCs/>
          <w:color w:val="000000" w:themeColor="text1"/>
        </w:rPr>
        <w:t>基金份额发售公告</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基金管理人应当就基金份额发售的具体事宜编制基金份额发售公告，并在披露招募说明书的当日登载于</w:t>
      </w:r>
      <w:r w:rsidR="007C4910" w:rsidRPr="00286323">
        <w:rPr>
          <w:rFonts w:asciiTheme="minorEastAsia" w:eastAsiaTheme="minorEastAsia" w:hAnsiTheme="minorEastAsia" w:cs="Arial" w:hint="eastAsia"/>
          <w:color w:val="000000" w:themeColor="text1"/>
        </w:rPr>
        <w:t>指定媒介</w:t>
      </w:r>
      <w:r w:rsidRPr="00286323">
        <w:rPr>
          <w:rFonts w:asciiTheme="minorEastAsia" w:eastAsiaTheme="minorEastAsia" w:hAnsiTheme="minorEastAsia"/>
          <w:bCs/>
          <w:color w:val="000000" w:themeColor="text1"/>
        </w:rPr>
        <w:t>上。</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3、</w:t>
      </w:r>
      <w:r w:rsidRPr="00286323">
        <w:rPr>
          <w:rFonts w:asciiTheme="minorEastAsia" w:eastAsiaTheme="minorEastAsia" w:hAnsiTheme="minorEastAsia"/>
          <w:bCs/>
          <w:color w:val="000000" w:themeColor="text1"/>
        </w:rPr>
        <w:t>《基金合同》生效公告</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基金管理人应当在收到中国证监会确认文件的次日在</w:t>
      </w:r>
      <w:r w:rsidR="007C4910" w:rsidRPr="00286323">
        <w:rPr>
          <w:rFonts w:asciiTheme="minorEastAsia" w:eastAsiaTheme="minorEastAsia" w:hAnsiTheme="minorEastAsia" w:cs="Arial" w:hint="eastAsia"/>
          <w:color w:val="000000" w:themeColor="text1"/>
        </w:rPr>
        <w:t>指定媒介</w:t>
      </w:r>
      <w:r w:rsidRPr="00286323">
        <w:rPr>
          <w:rFonts w:asciiTheme="minorEastAsia" w:eastAsiaTheme="minorEastAsia" w:hAnsiTheme="minorEastAsia"/>
          <w:bCs/>
          <w:color w:val="000000" w:themeColor="text1"/>
        </w:rPr>
        <w:t>上登载《基金合同》生效公告。</w:t>
      </w:r>
    </w:p>
    <w:p w:rsidR="00AD72E8" w:rsidRPr="00286323" w:rsidRDefault="001A7CDB"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4、</w:t>
      </w:r>
      <w:r w:rsidR="00AD72E8" w:rsidRPr="00286323">
        <w:rPr>
          <w:rFonts w:asciiTheme="minorEastAsia" w:eastAsiaTheme="minorEastAsia" w:hAnsiTheme="minorEastAsia" w:hint="eastAsia"/>
          <w:bCs/>
          <w:color w:val="000000" w:themeColor="text1"/>
        </w:rPr>
        <w:t>基金净值信息</w:t>
      </w:r>
    </w:p>
    <w:p w:rsidR="00AD72E8" w:rsidRPr="00286323" w:rsidRDefault="00AD72E8"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《基金合同》生效后，在开始办理基金份额申购或者赎回前，基金管理人应当至少每周在指定网站披露一次基金份额净值和基金份额累计净值。</w:t>
      </w:r>
    </w:p>
    <w:p w:rsidR="00AD72E8" w:rsidRPr="00286323" w:rsidRDefault="00AD72E8"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在开始办理基金份额申购或者赎回后，基金管理人应当在不晚于每个开放日的次日，通过指定网站、基金销售机构网站或者营业网点披露开放日的基金份额净值和基金份额累计净值。</w:t>
      </w:r>
    </w:p>
    <w:p w:rsidR="00AD72E8" w:rsidRPr="00286323" w:rsidRDefault="00AD72E8"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基金管理人应当在不晚于半年度和年度最后一日的次日，在指定网站披露半年度和年度最后一日的基金份额净值和基金份额累计净值。</w:t>
      </w:r>
    </w:p>
    <w:p w:rsidR="001A7CDB" w:rsidRPr="00286323" w:rsidRDefault="001A7CDB" w:rsidP="00AD72E8">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5、</w:t>
      </w:r>
      <w:r w:rsidRPr="00286323">
        <w:rPr>
          <w:rFonts w:asciiTheme="minorEastAsia" w:eastAsiaTheme="minorEastAsia" w:hAnsiTheme="minorEastAsia"/>
          <w:bCs/>
          <w:color w:val="000000" w:themeColor="text1"/>
        </w:rPr>
        <w:t>基金份额申购、赎回价格</w:t>
      </w:r>
    </w:p>
    <w:p w:rsidR="00AD72E8" w:rsidRPr="00286323" w:rsidRDefault="001A7CDB"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基金管理人应当在《基金合同》、招募说明书等信息披露文件上载明基金份额申购、赎回价格的计算方式及有关申购、赎回费率，</w:t>
      </w:r>
      <w:r w:rsidR="00AD72E8" w:rsidRPr="00286323">
        <w:rPr>
          <w:rFonts w:asciiTheme="minorEastAsia" w:eastAsiaTheme="minorEastAsia" w:hAnsiTheme="minorEastAsia" w:hint="eastAsia"/>
          <w:bCs/>
          <w:color w:val="000000" w:themeColor="text1"/>
        </w:rPr>
        <w:t>并保证投资者能够在基金销售机构网站或营业网点查阅或者复制前述信息资料。</w:t>
      </w:r>
    </w:p>
    <w:p w:rsidR="00FC0D3C" w:rsidRPr="00286323" w:rsidRDefault="001A7CDB" w:rsidP="00FC0D3C">
      <w:pPr>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lastRenderedPageBreak/>
        <w:t>6、</w:t>
      </w:r>
      <w:r w:rsidR="00FC0D3C" w:rsidRPr="00286323">
        <w:rPr>
          <w:rFonts w:asciiTheme="minorEastAsia" w:eastAsiaTheme="minorEastAsia" w:hAnsiTheme="minorEastAsia" w:hint="eastAsia"/>
          <w:bCs/>
          <w:color w:val="000000" w:themeColor="text1"/>
        </w:rPr>
        <w:t>基金定期报告，包括基金年度报告、基金中期报告和基金季度报告</w:t>
      </w:r>
    </w:p>
    <w:p w:rsidR="00FC0D3C" w:rsidRPr="00286323" w:rsidRDefault="00FC0D3C"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FC0D3C" w:rsidRPr="00286323" w:rsidRDefault="00FC0D3C"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基金管理人应当在上半年结束之日起两个月内，编制完成基金中期报告，将中期报告登载在指定网站上，并将中期报告提示性公告登载在指定报刊上。</w:t>
      </w:r>
    </w:p>
    <w:p w:rsidR="00FC0D3C" w:rsidRPr="00286323" w:rsidRDefault="00FC0D3C"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基金管理人应当在季度结束之日起</w:t>
      </w:r>
      <w:r w:rsidRPr="00286323">
        <w:rPr>
          <w:rFonts w:asciiTheme="minorEastAsia" w:eastAsiaTheme="minorEastAsia" w:hAnsiTheme="minorEastAsia"/>
          <w:bCs/>
          <w:color w:val="000000" w:themeColor="text1"/>
        </w:rPr>
        <w:t>15</w:t>
      </w:r>
      <w:r w:rsidRPr="00286323">
        <w:rPr>
          <w:rFonts w:asciiTheme="minorEastAsia" w:eastAsiaTheme="minorEastAsia" w:hAnsiTheme="minorEastAsia" w:hint="eastAsia"/>
          <w:bCs/>
          <w:color w:val="000000" w:themeColor="text1"/>
        </w:rPr>
        <w:t>个工作日内，编制完成基金季度报告，将季度报告登载在指定网站上，并将季度报告提示性公告登载在指定报刊上。</w:t>
      </w:r>
    </w:p>
    <w:p w:rsidR="00FC0D3C" w:rsidRPr="00286323" w:rsidRDefault="00FC0D3C"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《基金合同》生效不足</w:t>
      </w:r>
      <w:r w:rsidRPr="00286323">
        <w:rPr>
          <w:rFonts w:asciiTheme="minorEastAsia" w:eastAsiaTheme="minorEastAsia" w:hAnsiTheme="minorEastAsia"/>
          <w:bCs/>
          <w:color w:val="000000" w:themeColor="text1"/>
        </w:rPr>
        <w:t>2</w:t>
      </w:r>
      <w:r w:rsidRPr="00286323">
        <w:rPr>
          <w:rFonts w:asciiTheme="minorEastAsia" w:eastAsiaTheme="minorEastAsia" w:hAnsiTheme="minorEastAsia" w:hint="eastAsia"/>
          <w:bCs/>
          <w:color w:val="000000" w:themeColor="text1"/>
        </w:rPr>
        <w:t>个月的，基金管理人可以不编制当期季度报告、中期报告或者年度报告。</w:t>
      </w:r>
    </w:p>
    <w:p w:rsidR="00FC0D3C" w:rsidRPr="00286323" w:rsidRDefault="00FC0D3C"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报告期内出现单一投资者持有基金份额比例达到或超过</w:t>
      </w:r>
      <w:r w:rsidRPr="00286323">
        <w:rPr>
          <w:rFonts w:asciiTheme="minorEastAsia" w:eastAsiaTheme="minorEastAsia" w:hAnsiTheme="minorEastAsia"/>
          <w:bCs/>
          <w:color w:val="000000" w:themeColor="text1"/>
        </w:rPr>
        <w:t>20%</w:t>
      </w:r>
      <w:r w:rsidRPr="00286323">
        <w:rPr>
          <w:rFonts w:asciiTheme="minorEastAsia" w:eastAsiaTheme="minorEastAsia" w:hAnsiTheme="minorEastAsia" w:hint="eastAsia"/>
          <w:bCs/>
          <w:color w:val="000000" w:themeColor="text1"/>
        </w:rPr>
        <w:t>的情形，基金管理人应当在季度报告、中期报告、年度报告等定期报告文件中披露该投资者的类别、报告期末持有份额及占比、报告期内持有份额变化情况及产品的特有风险，中国证监会认定的特殊情形除外。</w:t>
      </w:r>
    </w:p>
    <w:p w:rsidR="00FC0D3C" w:rsidRPr="00286323" w:rsidRDefault="00FC0D3C"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基金持续运作过程中，基金管理人应当在基金年度报告和中期报告中披露基金组合资产情况及其流动性风险分析等。</w:t>
      </w:r>
    </w:p>
    <w:p w:rsidR="001A7CDB" w:rsidRPr="00286323" w:rsidRDefault="001A7CDB" w:rsidP="00FC0D3C">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7、</w:t>
      </w:r>
      <w:r w:rsidRPr="00286323">
        <w:rPr>
          <w:rFonts w:asciiTheme="minorEastAsia" w:eastAsiaTheme="minorEastAsia" w:hAnsiTheme="minorEastAsia"/>
          <w:bCs/>
          <w:color w:val="000000" w:themeColor="text1"/>
        </w:rPr>
        <w:t>临时报告</w:t>
      </w:r>
    </w:p>
    <w:p w:rsidR="00476452" w:rsidRPr="00286323" w:rsidRDefault="00476452"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本基金发生重大事件，有关信息披露义务人应当在</w:t>
      </w:r>
      <w:r w:rsidRPr="00286323">
        <w:rPr>
          <w:rFonts w:asciiTheme="minorEastAsia" w:eastAsiaTheme="minorEastAsia" w:hAnsiTheme="minorEastAsia"/>
          <w:bCs/>
          <w:color w:val="000000" w:themeColor="text1"/>
        </w:rPr>
        <w:t>2</w:t>
      </w:r>
      <w:r w:rsidRPr="00286323">
        <w:rPr>
          <w:rFonts w:asciiTheme="minorEastAsia" w:eastAsiaTheme="minorEastAsia" w:hAnsiTheme="minorEastAsia" w:hint="eastAsia"/>
          <w:bCs/>
          <w:color w:val="000000" w:themeColor="text1"/>
        </w:rPr>
        <w:t>日内编制临时报告书，并登载在指定报刊和指定网站上。</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前款所称重大事件，是指可能对基金份额持有人权益或者基金份额的价格产生重大影响的下列事件：</w:t>
      </w:r>
    </w:p>
    <w:p w:rsidR="00476452" w:rsidRPr="00286323" w:rsidRDefault="00476452"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1</w:t>
      </w:r>
      <w:r w:rsidRPr="00286323">
        <w:rPr>
          <w:rFonts w:asciiTheme="minorEastAsia" w:eastAsiaTheme="minorEastAsia" w:hAnsiTheme="minorEastAsia" w:hint="eastAsia"/>
          <w:bCs/>
          <w:color w:val="000000" w:themeColor="text1"/>
        </w:rPr>
        <w:t>）基金份额持有人大会的召开及决定的事项；</w:t>
      </w:r>
    </w:p>
    <w:p w:rsidR="00476452" w:rsidRPr="00286323" w:rsidRDefault="00476452"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2</w:t>
      </w:r>
      <w:r w:rsidRPr="00286323">
        <w:rPr>
          <w:rFonts w:asciiTheme="minorEastAsia" w:eastAsiaTheme="minorEastAsia" w:hAnsiTheme="minorEastAsia" w:hint="eastAsia"/>
          <w:bCs/>
          <w:color w:val="000000" w:themeColor="text1"/>
        </w:rPr>
        <w:t>）基金合同终止、基金清算；</w:t>
      </w:r>
    </w:p>
    <w:p w:rsidR="00476452" w:rsidRPr="00286323" w:rsidRDefault="00476452"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3</w:t>
      </w:r>
      <w:r w:rsidRPr="00286323">
        <w:rPr>
          <w:rFonts w:asciiTheme="minorEastAsia" w:eastAsiaTheme="minorEastAsia" w:hAnsiTheme="minorEastAsia" w:hint="eastAsia"/>
          <w:bCs/>
          <w:color w:val="000000" w:themeColor="text1"/>
        </w:rPr>
        <w:t>）转换基金运作方式、基金合并；</w:t>
      </w:r>
    </w:p>
    <w:p w:rsidR="00476452" w:rsidRPr="00286323" w:rsidRDefault="00476452"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4</w:t>
      </w:r>
      <w:r w:rsidRPr="00286323">
        <w:rPr>
          <w:rFonts w:asciiTheme="minorEastAsia" w:eastAsiaTheme="minorEastAsia" w:hAnsiTheme="minorEastAsia" w:hint="eastAsia"/>
          <w:bCs/>
          <w:color w:val="000000" w:themeColor="text1"/>
        </w:rPr>
        <w:t>）更换基金管理人、基金托管人、基金份额登记机构，基金改聘会计师事务所；</w:t>
      </w:r>
    </w:p>
    <w:p w:rsidR="00476452" w:rsidRPr="00286323" w:rsidRDefault="00476452"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5</w:t>
      </w:r>
      <w:r w:rsidRPr="00286323">
        <w:rPr>
          <w:rFonts w:asciiTheme="minorEastAsia" w:eastAsiaTheme="minorEastAsia" w:hAnsiTheme="minorEastAsia" w:hint="eastAsia"/>
          <w:bCs/>
          <w:color w:val="000000" w:themeColor="text1"/>
        </w:rPr>
        <w:t>）基金管理人委托基金服务机构代为办理基金的份额登记、核算、估值等事项，基金托管人委托基金服务机构代为办理基金的核算、估值、复核等事项；</w:t>
      </w:r>
    </w:p>
    <w:p w:rsidR="00476452" w:rsidRPr="00286323" w:rsidRDefault="00476452"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6</w:t>
      </w:r>
      <w:r w:rsidRPr="00286323">
        <w:rPr>
          <w:rFonts w:asciiTheme="minorEastAsia" w:eastAsiaTheme="minorEastAsia" w:hAnsiTheme="minorEastAsia" w:hint="eastAsia"/>
          <w:bCs/>
          <w:color w:val="000000" w:themeColor="text1"/>
        </w:rPr>
        <w:t>）基金管理人、基金托管人的法定名称、住所发生变更；</w:t>
      </w:r>
    </w:p>
    <w:p w:rsidR="00476452" w:rsidRPr="00286323" w:rsidRDefault="00476452"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7</w:t>
      </w:r>
      <w:r w:rsidRPr="00286323">
        <w:rPr>
          <w:rFonts w:asciiTheme="minorEastAsia" w:eastAsiaTheme="minorEastAsia" w:hAnsiTheme="minorEastAsia" w:hint="eastAsia"/>
          <w:bCs/>
          <w:color w:val="000000" w:themeColor="text1"/>
        </w:rPr>
        <w:t>）基金管理公司变更持有百分之五以上股权的股东、基金管理人的实际控制人变更；</w:t>
      </w:r>
    </w:p>
    <w:p w:rsidR="00476452" w:rsidRPr="00286323" w:rsidRDefault="00476452"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8</w:t>
      </w:r>
      <w:r w:rsidRPr="00286323">
        <w:rPr>
          <w:rFonts w:asciiTheme="minorEastAsia" w:eastAsiaTheme="minorEastAsia" w:hAnsiTheme="minorEastAsia" w:hint="eastAsia"/>
          <w:bCs/>
          <w:color w:val="000000" w:themeColor="text1"/>
        </w:rPr>
        <w:t>）基金管理人的高级管理人员、基金经理和基金托管人专门基金托管部门负责人发生变动；</w:t>
      </w:r>
    </w:p>
    <w:p w:rsidR="00476452" w:rsidRPr="00286323" w:rsidRDefault="00476452"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lastRenderedPageBreak/>
        <w:t>（</w:t>
      </w:r>
      <w:r w:rsidRPr="00286323">
        <w:rPr>
          <w:rFonts w:asciiTheme="minorEastAsia" w:eastAsiaTheme="minorEastAsia" w:hAnsiTheme="minorEastAsia"/>
          <w:bCs/>
          <w:color w:val="000000" w:themeColor="text1"/>
        </w:rPr>
        <w:t>9</w:t>
      </w:r>
      <w:r w:rsidRPr="00286323">
        <w:rPr>
          <w:rFonts w:asciiTheme="minorEastAsia" w:eastAsiaTheme="minorEastAsia" w:hAnsiTheme="minorEastAsia" w:hint="eastAsia"/>
          <w:bCs/>
          <w:color w:val="000000" w:themeColor="text1"/>
        </w:rPr>
        <w:t>）基金管理人的董事在最近</w:t>
      </w:r>
      <w:r w:rsidRPr="00286323">
        <w:rPr>
          <w:rFonts w:asciiTheme="minorEastAsia" w:eastAsiaTheme="minorEastAsia" w:hAnsiTheme="minorEastAsia"/>
          <w:bCs/>
          <w:color w:val="000000" w:themeColor="text1"/>
        </w:rPr>
        <w:t>12</w:t>
      </w:r>
      <w:r w:rsidRPr="00286323">
        <w:rPr>
          <w:rFonts w:asciiTheme="minorEastAsia" w:eastAsiaTheme="minorEastAsia" w:hAnsiTheme="minorEastAsia" w:hint="eastAsia"/>
          <w:bCs/>
          <w:color w:val="000000" w:themeColor="text1"/>
        </w:rPr>
        <w:t>个月内变更超过百分之五十，基金管理人、基金托管人专门基金托管部门的主要业务人员在最近</w:t>
      </w:r>
      <w:r w:rsidRPr="00286323">
        <w:rPr>
          <w:rFonts w:asciiTheme="minorEastAsia" w:eastAsiaTheme="minorEastAsia" w:hAnsiTheme="minorEastAsia"/>
          <w:bCs/>
          <w:color w:val="000000" w:themeColor="text1"/>
        </w:rPr>
        <w:t>12</w:t>
      </w:r>
      <w:r w:rsidRPr="00286323">
        <w:rPr>
          <w:rFonts w:asciiTheme="minorEastAsia" w:eastAsiaTheme="minorEastAsia" w:hAnsiTheme="minorEastAsia" w:hint="eastAsia"/>
          <w:bCs/>
          <w:color w:val="000000" w:themeColor="text1"/>
        </w:rPr>
        <w:t>个月内变动超过百分之三十；</w:t>
      </w:r>
    </w:p>
    <w:p w:rsidR="00476452" w:rsidRPr="00286323" w:rsidRDefault="00476452"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10</w:t>
      </w:r>
      <w:r w:rsidRPr="00286323">
        <w:rPr>
          <w:rFonts w:asciiTheme="minorEastAsia" w:eastAsiaTheme="minorEastAsia" w:hAnsiTheme="minorEastAsia" w:hint="eastAsia"/>
          <w:bCs/>
          <w:color w:val="000000" w:themeColor="text1"/>
        </w:rPr>
        <w:t>）涉及基金财产、基金管理业务、基金托管业务的诉讼或仲裁；</w:t>
      </w:r>
    </w:p>
    <w:p w:rsidR="00476452" w:rsidRPr="00286323" w:rsidRDefault="00476452"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11</w:t>
      </w:r>
      <w:r w:rsidRPr="00286323">
        <w:rPr>
          <w:rFonts w:asciiTheme="minorEastAsia" w:eastAsiaTheme="minorEastAsia" w:hAnsiTheme="minorEastAsia" w:hint="eastAsia"/>
          <w:bCs/>
          <w:color w:val="000000" w:themeColor="text1"/>
        </w:rPr>
        <w:t>）基金管理人或其高级管理人员、基金经理因基金管理业务相关行为受到重大行政处罚、刑事处罚，基金托管人或其专门基金托管部门负责人因基金托管业务相关行为受到重大行政处罚、刑事处罚；</w:t>
      </w:r>
    </w:p>
    <w:p w:rsidR="00476452" w:rsidRPr="00286323" w:rsidRDefault="00476452"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12</w:t>
      </w:r>
      <w:r w:rsidRPr="00286323">
        <w:rPr>
          <w:rFonts w:asciiTheme="minorEastAsia" w:eastAsiaTheme="minorEastAsia" w:hAnsiTheme="minorEastAsia" w:hint="eastAsia"/>
          <w:bCs/>
          <w:color w:val="000000" w:themeColor="text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476452" w:rsidRPr="00286323" w:rsidRDefault="00476452"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13</w:t>
      </w:r>
      <w:r w:rsidRPr="00286323">
        <w:rPr>
          <w:rFonts w:asciiTheme="minorEastAsia" w:eastAsiaTheme="minorEastAsia" w:hAnsiTheme="minorEastAsia" w:hint="eastAsia"/>
          <w:bCs/>
          <w:color w:val="000000" w:themeColor="text1"/>
        </w:rPr>
        <w:t>）基金收益分配事项；</w:t>
      </w:r>
    </w:p>
    <w:p w:rsidR="00476452" w:rsidRPr="00286323" w:rsidRDefault="00476452"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14</w:t>
      </w:r>
      <w:r w:rsidRPr="00286323">
        <w:rPr>
          <w:rFonts w:asciiTheme="minorEastAsia" w:eastAsiaTheme="minorEastAsia" w:hAnsiTheme="minorEastAsia" w:hint="eastAsia"/>
          <w:bCs/>
          <w:color w:val="000000" w:themeColor="text1"/>
        </w:rPr>
        <w:t>）管理费、托管费、申购费、赎回费等费用计提标准、计提方式和费率发生变更；</w:t>
      </w:r>
    </w:p>
    <w:p w:rsidR="00476452" w:rsidRPr="00286323" w:rsidRDefault="00476452"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15</w:t>
      </w:r>
      <w:r w:rsidRPr="00286323">
        <w:rPr>
          <w:rFonts w:asciiTheme="minorEastAsia" w:eastAsiaTheme="minorEastAsia" w:hAnsiTheme="minorEastAsia" w:hint="eastAsia"/>
          <w:bCs/>
          <w:color w:val="000000" w:themeColor="text1"/>
        </w:rPr>
        <w:t>）基金份额净值计价错误达基金份额净值百分之零点五；</w:t>
      </w:r>
    </w:p>
    <w:p w:rsidR="00476452" w:rsidRPr="00286323" w:rsidRDefault="00476452"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16</w:t>
      </w:r>
      <w:r w:rsidRPr="00286323">
        <w:rPr>
          <w:rFonts w:asciiTheme="minorEastAsia" w:eastAsiaTheme="minorEastAsia" w:hAnsiTheme="minorEastAsia" w:hint="eastAsia"/>
          <w:bCs/>
          <w:color w:val="000000" w:themeColor="text1"/>
        </w:rPr>
        <w:t>）本基金开始办理申购、赎回；</w:t>
      </w:r>
    </w:p>
    <w:p w:rsidR="00476452" w:rsidRPr="00286323" w:rsidRDefault="00476452"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17</w:t>
      </w:r>
      <w:r w:rsidRPr="00286323">
        <w:rPr>
          <w:rFonts w:asciiTheme="minorEastAsia" w:eastAsiaTheme="minorEastAsia" w:hAnsiTheme="minorEastAsia" w:hint="eastAsia"/>
          <w:bCs/>
          <w:color w:val="000000" w:themeColor="text1"/>
        </w:rPr>
        <w:t>）本基金暂停接受申购、赎回申请或重新接受申购、赎回申请；</w:t>
      </w:r>
    </w:p>
    <w:p w:rsidR="00C31116" w:rsidRPr="00286323" w:rsidRDefault="00C31116" w:rsidP="00C31116">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18</w:t>
      </w:r>
      <w:r w:rsidRPr="00286323">
        <w:rPr>
          <w:rFonts w:asciiTheme="minorEastAsia" w:eastAsiaTheme="minorEastAsia" w:hAnsiTheme="minorEastAsia" w:hint="eastAsia"/>
          <w:bCs/>
          <w:color w:val="000000" w:themeColor="text1"/>
        </w:rPr>
        <w:t>）基金变更标的指数；</w:t>
      </w:r>
    </w:p>
    <w:p w:rsidR="00C31116" w:rsidRPr="00286323" w:rsidRDefault="00C31116" w:rsidP="00C31116">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19</w:t>
      </w:r>
      <w:r w:rsidRPr="00286323">
        <w:rPr>
          <w:rFonts w:asciiTheme="minorEastAsia" w:eastAsiaTheme="minorEastAsia" w:hAnsiTheme="minorEastAsia" w:hint="eastAsia"/>
          <w:bCs/>
          <w:color w:val="000000" w:themeColor="text1"/>
        </w:rPr>
        <w:t>）调整基金份额类别的设置；</w:t>
      </w:r>
    </w:p>
    <w:p w:rsidR="00C31116" w:rsidRPr="00286323" w:rsidRDefault="00C31116" w:rsidP="00C31116">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20</w:t>
      </w:r>
      <w:r w:rsidRPr="00286323">
        <w:rPr>
          <w:rFonts w:asciiTheme="minorEastAsia" w:eastAsiaTheme="minorEastAsia" w:hAnsiTheme="minorEastAsia" w:hint="eastAsia"/>
          <w:bCs/>
          <w:color w:val="000000" w:themeColor="text1"/>
        </w:rPr>
        <w:t>）基金推出新业务或服务；</w:t>
      </w:r>
    </w:p>
    <w:p w:rsidR="00C31116" w:rsidRPr="00286323" w:rsidRDefault="00C31116" w:rsidP="00C31116">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21</w:t>
      </w:r>
      <w:r w:rsidRPr="00286323">
        <w:rPr>
          <w:rFonts w:asciiTheme="minorEastAsia" w:eastAsiaTheme="minorEastAsia" w:hAnsiTheme="minorEastAsia" w:hint="eastAsia"/>
          <w:bCs/>
          <w:color w:val="000000" w:themeColor="text1"/>
        </w:rPr>
        <w:t>）基金信息披露义务人认为可能对基金份额持有人权益或者基金份额的价格产生重大影响的其他事项或中国证监会规定的其他事项。</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8、</w:t>
      </w:r>
      <w:r w:rsidRPr="00286323">
        <w:rPr>
          <w:rFonts w:asciiTheme="minorEastAsia" w:eastAsiaTheme="minorEastAsia" w:hAnsiTheme="minorEastAsia"/>
          <w:bCs/>
          <w:color w:val="000000" w:themeColor="text1"/>
        </w:rPr>
        <w:t>澄清公告</w:t>
      </w:r>
    </w:p>
    <w:p w:rsidR="00476452" w:rsidRPr="00286323" w:rsidRDefault="00476452"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476452" w:rsidRPr="00286323" w:rsidRDefault="00476452"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9、清算报告</w:t>
      </w:r>
    </w:p>
    <w:p w:rsidR="00476452" w:rsidRPr="00286323" w:rsidRDefault="00476452"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1A7CDB" w:rsidRPr="00286323" w:rsidRDefault="00476452"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1</w:t>
      </w:r>
      <w:r w:rsidRPr="00286323">
        <w:rPr>
          <w:rFonts w:asciiTheme="minorEastAsia" w:eastAsiaTheme="minorEastAsia" w:hAnsiTheme="minorEastAsia"/>
          <w:bCs/>
          <w:color w:val="000000" w:themeColor="text1"/>
        </w:rPr>
        <w:t>0</w:t>
      </w:r>
      <w:r w:rsidR="001A7CDB" w:rsidRPr="00286323">
        <w:rPr>
          <w:rFonts w:asciiTheme="minorEastAsia" w:eastAsiaTheme="minorEastAsia" w:hAnsiTheme="minorEastAsia" w:hint="eastAsia"/>
          <w:bCs/>
          <w:color w:val="000000" w:themeColor="text1"/>
        </w:rPr>
        <w:t>、</w:t>
      </w:r>
      <w:r w:rsidR="001A7CDB" w:rsidRPr="00286323">
        <w:rPr>
          <w:rFonts w:asciiTheme="minorEastAsia" w:eastAsiaTheme="minorEastAsia" w:hAnsiTheme="minorEastAsia"/>
          <w:bCs/>
          <w:color w:val="000000" w:themeColor="text1"/>
        </w:rPr>
        <w:t>基金份额持有人大会决议</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基金份额持有人大会决定的事项，应当依法报国务院证券监督管理机构核准或者备案，并予以公告。</w:t>
      </w:r>
    </w:p>
    <w:p w:rsidR="001A7CDB" w:rsidRPr="00286323" w:rsidRDefault="00476452"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1</w:t>
      </w:r>
      <w:r w:rsidRPr="00286323">
        <w:rPr>
          <w:rFonts w:asciiTheme="minorEastAsia" w:eastAsiaTheme="minorEastAsia" w:hAnsiTheme="minorEastAsia"/>
          <w:bCs/>
          <w:color w:val="000000" w:themeColor="text1"/>
        </w:rPr>
        <w:t>1</w:t>
      </w:r>
      <w:r w:rsidR="001A7CDB" w:rsidRPr="00286323">
        <w:rPr>
          <w:rFonts w:asciiTheme="minorEastAsia" w:eastAsiaTheme="minorEastAsia" w:hAnsiTheme="minorEastAsia" w:hint="eastAsia"/>
          <w:bCs/>
          <w:color w:val="000000" w:themeColor="text1"/>
        </w:rPr>
        <w:t>、</w:t>
      </w:r>
      <w:r w:rsidR="001A7CDB" w:rsidRPr="00286323">
        <w:rPr>
          <w:rFonts w:asciiTheme="minorEastAsia" w:eastAsiaTheme="minorEastAsia" w:hAnsiTheme="minorEastAsia"/>
          <w:bCs/>
          <w:color w:val="000000" w:themeColor="text1"/>
        </w:rPr>
        <w:t>中国证监会规定的其他信息。</w:t>
      </w:r>
    </w:p>
    <w:p w:rsidR="002A32CC" w:rsidRPr="00286323" w:rsidRDefault="002A32CC"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若本基金投资股指期货，基金管理人应在季度报告、</w:t>
      </w:r>
      <w:r w:rsidR="00476452" w:rsidRPr="00286323">
        <w:rPr>
          <w:rFonts w:asciiTheme="minorEastAsia" w:eastAsiaTheme="minorEastAsia" w:hAnsiTheme="minorEastAsia" w:hint="eastAsia"/>
          <w:bCs/>
          <w:color w:val="000000" w:themeColor="text1"/>
        </w:rPr>
        <w:t>中期</w:t>
      </w:r>
      <w:r w:rsidRPr="00286323">
        <w:rPr>
          <w:rFonts w:asciiTheme="minorEastAsia" w:eastAsiaTheme="minorEastAsia" w:hAnsiTheme="minorEastAsia" w:hint="eastAsia"/>
          <w:bCs/>
          <w:color w:val="000000" w:themeColor="text1"/>
        </w:rPr>
        <w:t>报告、年度报告等定期报告和招募说明书（更新）等文件中披露股指期货交易情况，包括投资政策、持仓情况、损益</w:t>
      </w:r>
      <w:r w:rsidRPr="00286323">
        <w:rPr>
          <w:rFonts w:asciiTheme="minorEastAsia" w:eastAsiaTheme="minorEastAsia" w:hAnsiTheme="minorEastAsia" w:hint="eastAsia"/>
          <w:bCs/>
          <w:color w:val="000000" w:themeColor="text1"/>
        </w:rPr>
        <w:lastRenderedPageBreak/>
        <w:t>情况、风险指标等，并充分揭示股指期货交易对基金总体风险的影响以及是否符合既定的投资政策和投资目标等。</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六</w:t>
      </w: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信息披露事务管理</w:t>
      </w:r>
    </w:p>
    <w:p w:rsidR="00476452" w:rsidRPr="00286323" w:rsidRDefault="00476452"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基金管理人、基金托管人应当建立健全信息披露管理制度，指定专门部门及高级管理人员负责管理信息披露事务。</w:t>
      </w:r>
    </w:p>
    <w:p w:rsidR="00476452" w:rsidRPr="00286323" w:rsidRDefault="00476452"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基金信息披露义务人公开披露基金信息，应当符合中国证监会相关基金信息披露内容与格式准则等法规的规定。</w:t>
      </w:r>
    </w:p>
    <w:p w:rsidR="00476452" w:rsidRPr="00286323" w:rsidRDefault="00476452"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476452" w:rsidRPr="00286323" w:rsidRDefault="00476452"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476452" w:rsidRPr="00286323" w:rsidRDefault="00476452"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基金管理人、基金托管人除依法在指定媒介上披露信息外，还可以根据需要在其他公共媒介披露信息，但是其他公共媒介不得早于指定媒介披露信息，并且在不同媒介上披露同一信息的内容应当一致。</w:t>
      </w:r>
    </w:p>
    <w:p w:rsidR="00476452" w:rsidRPr="00286323" w:rsidRDefault="00476452"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476452" w:rsidRPr="00286323" w:rsidRDefault="00476452"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为基金信息披露义务人公开披露的基金信息出具审计报告、法律意见书的专业机构，应当制作工作底稿，并将相关档案至少保存到《基金合同》终止后</w:t>
      </w:r>
      <w:r w:rsidRPr="00286323">
        <w:rPr>
          <w:rFonts w:asciiTheme="minorEastAsia" w:eastAsiaTheme="minorEastAsia" w:hAnsiTheme="minorEastAsia"/>
          <w:bCs/>
          <w:color w:val="000000" w:themeColor="text1"/>
        </w:rPr>
        <w:t>10</w:t>
      </w:r>
      <w:r w:rsidRPr="00286323">
        <w:rPr>
          <w:rFonts w:asciiTheme="minorEastAsia" w:eastAsiaTheme="minorEastAsia" w:hAnsiTheme="minorEastAsia" w:hint="eastAsia"/>
          <w:bCs/>
          <w:color w:val="000000" w:themeColor="text1"/>
        </w:rPr>
        <w:t>年。</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七</w:t>
      </w: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信息披露文件的存放与查阅</w:t>
      </w:r>
    </w:p>
    <w:p w:rsidR="00476452" w:rsidRPr="00286323" w:rsidRDefault="00476452"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依法必须披露的信息发布后，基金管理人、基金托管人应当按照相关法律法规规定将信息置备于公司办公场所，供社会公众查阅、复制。</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（八）暂停或延迟信息披露的情形</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当出现下述情况时，基金管理人和基金托管人可暂停或延迟披露基金相关信息：</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1、不可抗力；</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2、基金投资所涉及的证券交易市场遇法定节假日或因其他原因暂停营业时；</w:t>
      </w:r>
    </w:p>
    <w:p w:rsidR="001A7CDB" w:rsidRPr="00286323" w:rsidRDefault="001A7CDB"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3、出现基金管理人认为属于会导致基金管理人不能出售或评估基金资产的紧急事故的任何情况；</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hint="eastAsia"/>
          <w:bCs/>
          <w:color w:val="000000" w:themeColor="text1"/>
        </w:rPr>
        <w:t>4、法律法规、基金合同或中国证监会规定的情况。</w:t>
      </w:r>
    </w:p>
    <w:p w:rsidR="001A7CDB" w:rsidRPr="00286323" w:rsidRDefault="001A7CDB" w:rsidP="00F71D3B">
      <w:pPr>
        <w:pStyle w:val="11"/>
        <w:numPr>
          <w:ilvl w:val="0"/>
          <w:numId w:val="9"/>
        </w:numPr>
        <w:snapToGrid w:val="0"/>
        <w:spacing w:beforeLines="0" w:afterLines="0" w:line="360" w:lineRule="auto"/>
        <w:ind w:firstLineChars="0"/>
        <w:rPr>
          <w:rFonts w:asciiTheme="minorEastAsia" w:eastAsiaTheme="minorEastAsia" w:hAnsiTheme="minorEastAsia" w:cs="Arial"/>
          <w:color w:val="000000" w:themeColor="text1"/>
        </w:rPr>
      </w:pPr>
      <w:bookmarkStart w:id="124" w:name="_Toc81922653"/>
      <w:r w:rsidRPr="00286323">
        <w:rPr>
          <w:rFonts w:asciiTheme="minorEastAsia" w:eastAsiaTheme="minorEastAsia" w:hAnsiTheme="minorEastAsia" w:cs="Arial" w:hint="eastAsia"/>
          <w:bCs/>
          <w:color w:val="000000" w:themeColor="text1"/>
        </w:rPr>
        <w:lastRenderedPageBreak/>
        <w:t>风险揭示</w:t>
      </w:r>
      <w:bookmarkEnd w:id="124"/>
    </w:p>
    <w:p w:rsidR="00155EFC" w:rsidRPr="00286323" w:rsidRDefault="00155EFC" w:rsidP="00155EFC">
      <w:pPr>
        <w:pStyle w:val="20"/>
        <w:numPr>
          <w:ilvl w:val="0"/>
          <w:numId w:val="36"/>
        </w:numPr>
        <w:snapToGrid w:val="0"/>
        <w:spacing w:before="312" w:afterLines="0" w:after="312" w:line="360" w:lineRule="auto"/>
        <w:ind w:leftChars="-135" w:left="1" w:hangingChars="101" w:hanging="284"/>
        <w:rPr>
          <w:rFonts w:asciiTheme="minorEastAsia" w:eastAsiaTheme="minorEastAsia" w:hAnsiTheme="minorEastAsia" w:cs="Arial"/>
          <w:color w:val="000000" w:themeColor="text1"/>
        </w:rPr>
      </w:pPr>
      <w:bookmarkStart w:id="125" w:name="_Toc76367385"/>
      <w:bookmarkStart w:id="126" w:name="_Toc92074917"/>
      <w:bookmarkStart w:id="127" w:name="_Toc231784428"/>
      <w:bookmarkStart w:id="128" w:name="_Toc238870123"/>
      <w:r w:rsidRPr="00286323">
        <w:rPr>
          <w:rFonts w:asciiTheme="minorEastAsia" w:eastAsiaTheme="minorEastAsia" w:hAnsiTheme="minorEastAsia" w:cs="Arial" w:hint="eastAsia"/>
          <w:color w:val="000000" w:themeColor="text1"/>
        </w:rPr>
        <w:t>本基金特有风险</w:t>
      </w:r>
    </w:p>
    <w:p w:rsidR="00155EFC" w:rsidRPr="00286323" w:rsidRDefault="00155EFC" w:rsidP="00155EFC">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1、与指数化投资相关的特定风险</w:t>
      </w:r>
    </w:p>
    <w:p w:rsidR="00155EFC" w:rsidRPr="00286323" w:rsidRDefault="00155EFC" w:rsidP="00155EFC">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（1）标的指数波动的风险</w:t>
      </w:r>
    </w:p>
    <w:p w:rsidR="00155EFC" w:rsidRPr="00286323" w:rsidRDefault="00155EFC" w:rsidP="00155EFC">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标的指数成份股的价格可能受到政治因素、经济因素、上市公司经营状况、投资人心理和交易制度等各种因素的影响而波动，导致指数波动，从而使基金收益水平发生变化，产生风险。本基金</w:t>
      </w:r>
      <w:r w:rsidR="0014736A" w:rsidRPr="00286323">
        <w:rPr>
          <w:rFonts w:asciiTheme="minorEastAsia" w:eastAsiaTheme="minorEastAsia" w:hAnsiTheme="minorEastAsia" w:hint="eastAsia"/>
          <w:bCs/>
          <w:color w:val="000000" w:themeColor="text1"/>
        </w:rPr>
        <w:t>股票投资比例不低于基金资产的90%，其中投资于标的指数成份股和备选成份股的资产不低于股票资产的80%</w:t>
      </w:r>
      <w:r w:rsidRPr="00286323">
        <w:rPr>
          <w:rFonts w:asciiTheme="minorEastAsia" w:eastAsiaTheme="minorEastAsia" w:hAnsiTheme="minorEastAsia" w:hint="eastAsia"/>
          <w:color w:val="000000" w:themeColor="text1"/>
        </w:rPr>
        <w:t>，业绩表现将会随着标的指数的波动而波动；同时本基金将维持较高的股票仓位，在股票市场下跌的过程中，可能面临基金净值与标的指数同步下跌的风险。</w:t>
      </w:r>
    </w:p>
    <w:p w:rsidR="00155EFC" w:rsidRPr="00286323" w:rsidRDefault="00155EFC" w:rsidP="00155EFC">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（2）标的指数回报与股票市场平均回报偏离的风险</w:t>
      </w:r>
    </w:p>
    <w:p w:rsidR="00155EFC" w:rsidRPr="00286323" w:rsidRDefault="00155EFC" w:rsidP="00155EFC">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标的指数并不能代表整个股票市场。标的指数成份股的平均回报率与整个股票市场的平均回报率可能存在偏离。</w:t>
      </w:r>
    </w:p>
    <w:p w:rsidR="00155EFC" w:rsidRPr="00286323" w:rsidRDefault="00155EFC" w:rsidP="00155EFC">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（3）基金投资组合回报与标的指数回报偏离的风险</w:t>
      </w:r>
    </w:p>
    <w:p w:rsidR="00155EFC" w:rsidRPr="00286323" w:rsidRDefault="00155EFC" w:rsidP="00155EFC">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以下因素可能使基金投资组合的收益率与标的指数的收益率发生偏离：1）标的指数调整成份股或变更编制方法，使本基金在相应的组合调整中产生跟踪偏离度与跟踪误差；2）标的指数成份股发生配股、增发等行为导致成份股在标的指数中的权重发生变化，使本基金在相应的组合调整中产生跟踪偏离度和跟踪误差；3）成份股派发现金红利、送配等所获收益导致基金收益率偏离标的指数收益率，从而产生跟踪偏离度和跟踪误差；4）由于成份股停牌、摘牌或流动性差等因素，基金无法及时调整投资组合或承担冲击成本而产生跟踪偏离度和跟踪误差；5）基金投资过程中的证券交易成本，以及基金管理费和托管费等，可能导致本基金在跟踪指数时产生收益上的偏离；6）在本基金指数化投资过程中，基金管理人的管理能力，例如跟踪指数的水平、技术手段、买入卖出的时机选择等，都会对本基金的收益产生影响，从而影响本基金对标的指数的跟踪程度；7）基金现金资产的拖累会影响本基金对标的指数的跟踪程度；8）如果本基金采取成份股替代策略，基金投资组合与标的指数构成的差异可能导致基金收益率与标的指数收益率产生偏离；9）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rsidR="00155EFC" w:rsidRPr="00286323" w:rsidRDefault="00155EFC" w:rsidP="00155EFC">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（4）标的指数变更的风险</w:t>
      </w:r>
    </w:p>
    <w:p w:rsidR="00155EFC" w:rsidRPr="00286323" w:rsidRDefault="00155EFC" w:rsidP="00155EFC">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根据基金合同规定，如发生导致标的指数变更的情形，基金管理人可以依据维护投资者合法权益的原则，变更本基金的标的指数。若标的指数发生变更，本基金的投资组合将相应进行调整。届时本基金的风险收益特征可能发生变化，且投资组合调整可能产生交易成本和机会成本。投资者须承担因标的指数变更而产生的风险与成本。</w:t>
      </w:r>
    </w:p>
    <w:p w:rsidR="00155EFC" w:rsidRPr="00286323" w:rsidRDefault="00155EFC" w:rsidP="00155EFC">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（5）量化增强策略的风险</w:t>
      </w:r>
    </w:p>
    <w:p w:rsidR="00155EFC" w:rsidRPr="00286323" w:rsidRDefault="00155EFC" w:rsidP="00155EFC">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本基金在一定的跟踪误差约束范围内，追求超越业绩比较基准的投资回报。为此，本基金可能在一定幅度内减少或增加部分标的指数成份股的投资比例，甚至从投资组合中剔除个别标的指数成份股，或在标的指数成份股之外进行投资。由于量化策略的表现存在不确定性，本基金进行增强投资的结果既可能超越业绩比较基准，也可能落后于业绩比较基准。</w:t>
      </w:r>
    </w:p>
    <w:p w:rsidR="00155EFC" w:rsidRPr="00286323" w:rsidRDefault="00155EFC" w:rsidP="00155EFC">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2、采用量化策略进行投资管理可能引致的特定风险</w:t>
      </w:r>
    </w:p>
    <w:p w:rsidR="00155EFC" w:rsidRPr="00286323" w:rsidRDefault="00155EFC" w:rsidP="00155EFC">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（1）数据错误风险</w:t>
      </w:r>
    </w:p>
    <w:p w:rsidR="00155EFC" w:rsidRPr="00286323" w:rsidRDefault="00155EFC" w:rsidP="00155EFC">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量化策略投资以广泛覆盖各类信息源的数据库为基础，接入了包括宏观经济、行业信息、公司财务、证券与期货交易行情等在内的多种数据，相关数据通常来源于不同的数据提供商，且按不同的需求和规范进行进行预处理。源数据错误或预处理过程中出现的错误可能影响量化模型的输出结果，形成数据错误风险。</w:t>
      </w:r>
    </w:p>
    <w:p w:rsidR="00155EFC" w:rsidRPr="00286323" w:rsidRDefault="00155EFC" w:rsidP="00155EFC">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（2）模型风险</w:t>
      </w:r>
    </w:p>
    <w:p w:rsidR="00155EFC" w:rsidRPr="00286323" w:rsidRDefault="00155EFC" w:rsidP="00155EFC">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本基金采用量化模型指导投资决策，定量方法的缺陷在一定程度上也会影响本基金的表现。一方面，面对不断变换的市场环境，量化投资策略所遵循的模型理论均处于不断发展和完善的过程中；另一方面，在定量模型的具体设定中，核心参数假定的变动均可能影响整体效果的稳定性；最后，定量模型存在对历史数据的依赖。因此，在实际运作过程中，市场环境的变化可能导致遵循量化模型构建的投资组合在一定程度上无法达到预期的投资效果。</w:t>
      </w:r>
    </w:p>
    <w:p w:rsidR="00155EFC" w:rsidRPr="00286323" w:rsidRDefault="00155EFC" w:rsidP="00155EFC">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3、本基金投资特定品种的特有风险</w:t>
      </w:r>
    </w:p>
    <w:p w:rsidR="00155EFC" w:rsidRPr="00286323" w:rsidRDefault="00155EFC" w:rsidP="00155EFC">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（1）本基金投资范围包括股指期货，股指期货投资可能给本基金带来额外风险，包括杠杆风险、期货价格与基金投资品种价格的相关度降低带来的风险等，由此可能增加本基金净值的波动性。</w:t>
      </w:r>
    </w:p>
    <w:p w:rsidR="00155EFC" w:rsidRPr="00286323" w:rsidRDefault="00155EFC" w:rsidP="00155EFC">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（2）本基金的投资范围包括资产支持证券，资产支持证券存在一定的信用风险、利率风险、流动性风险、提前偿付风险、操作风险和法律风险，由此可能给基金净值带来不利影响或损失。</w:t>
      </w:r>
    </w:p>
    <w:p w:rsidR="00A24FE4" w:rsidRPr="00286323" w:rsidRDefault="00155EFC" w:rsidP="00A24FE4">
      <w:pPr>
        <w:autoSpaceDE w:val="0"/>
        <w:autoSpaceDN w:val="0"/>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4</w:t>
      </w:r>
      <w:r w:rsidR="00A24FE4" w:rsidRPr="00286323">
        <w:rPr>
          <w:rFonts w:asciiTheme="minorEastAsia" w:eastAsiaTheme="minorEastAsia" w:hAnsiTheme="minorEastAsia" w:cs="Arial" w:hint="eastAsia"/>
          <w:color w:val="000000" w:themeColor="text1"/>
        </w:rPr>
        <w:t>、本基金可投资科创板股票，可能面临退市风险、市场风险、流动性风险等特有风险，从而可能给基金净值带来不利影响或损失。本基金根据投资策略需要或市场环境变化，可</w:t>
      </w:r>
      <w:r w:rsidR="00A24FE4" w:rsidRPr="00286323">
        <w:rPr>
          <w:rFonts w:asciiTheme="minorEastAsia" w:eastAsiaTheme="minorEastAsia" w:hAnsiTheme="minorEastAsia" w:cs="Arial" w:hint="eastAsia"/>
          <w:color w:val="000000" w:themeColor="text1"/>
        </w:rPr>
        <w:lastRenderedPageBreak/>
        <w:t>选择将部分基金资产投资于科创板股票或选择不将基金资产投资于科创板股票，基金资产并非必然投资于科创板股票。</w:t>
      </w:r>
    </w:p>
    <w:p w:rsidR="00A24FE4" w:rsidRPr="00286323" w:rsidRDefault="00A24FE4" w:rsidP="00A24FE4">
      <w:pPr>
        <w:autoSpaceDE w:val="0"/>
        <w:autoSpaceDN w:val="0"/>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科创板股票在发行、上市、交易、退市等方面的规则与其他板块存在差异，基金投资科创板股票的风险包括但不限于：</w:t>
      </w:r>
    </w:p>
    <w:p w:rsidR="00A24FE4" w:rsidRPr="00286323" w:rsidRDefault="00A24FE4" w:rsidP="00A24FE4">
      <w:pPr>
        <w:autoSpaceDE w:val="0"/>
        <w:autoSpaceDN w:val="0"/>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（1）科创板企业退市风险</w:t>
      </w:r>
    </w:p>
    <w:p w:rsidR="00A24FE4" w:rsidRPr="00286323" w:rsidRDefault="00A24FE4" w:rsidP="00A24FE4">
      <w:pPr>
        <w:autoSpaceDE w:val="0"/>
        <w:autoSpaceDN w:val="0"/>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科创板退市制度较主板更为严格，退市时间更短，退市速度更快，退市情形更多，且不再设置暂停上市、恢复上市和重新上市环节。一旦所投资的科创板股票进入退市流程，将面临退出难度较大、成本较高的风险。</w:t>
      </w:r>
    </w:p>
    <w:p w:rsidR="00A24FE4" w:rsidRPr="00286323" w:rsidRDefault="00A24FE4" w:rsidP="00A24FE4">
      <w:pPr>
        <w:autoSpaceDE w:val="0"/>
        <w:autoSpaceDN w:val="0"/>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（2）市场风险</w:t>
      </w:r>
    </w:p>
    <w:p w:rsidR="00A24FE4" w:rsidRPr="00286323" w:rsidRDefault="00A24FE4" w:rsidP="00A24FE4">
      <w:pPr>
        <w:autoSpaceDE w:val="0"/>
        <w:autoSpaceDN w:val="0"/>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科创板企业相对集中于新一代信息技术、高端装备、新材料、新能源、节能环保及生物医药等高新技术和战略新兴产业领域，大多数企业为初创型公司，上市门槛略低于A股其他板块，企业未来盈利、现金流、估值等均存在不确定性，个股投资风险加大。此外，科创板企业普遍具有前景不确定、业绩波动大、风险高的特征，市场可比公司较少，估值与发行定价难度较大。同时，科创板竞价交易较主板设置了更宽的涨跌幅限制（上市后的前5个交易日不设涨跌幅限制，其后涨跌幅限制为20%）、科创板股票上市首日即可作为融资融券标的，可能导致较大的股票价格波动。</w:t>
      </w:r>
    </w:p>
    <w:p w:rsidR="00A24FE4" w:rsidRPr="00286323" w:rsidRDefault="00A24FE4" w:rsidP="00A24FE4">
      <w:pPr>
        <w:autoSpaceDE w:val="0"/>
        <w:autoSpaceDN w:val="0"/>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（3）流动性风险</w:t>
      </w:r>
    </w:p>
    <w:p w:rsidR="00A24FE4" w:rsidRPr="00286323" w:rsidRDefault="00A24FE4" w:rsidP="00A24FE4">
      <w:pPr>
        <w:autoSpaceDE w:val="0"/>
        <w:autoSpaceDN w:val="0"/>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科创板投资门槛较高，由此可能导致整体流动性相对较弱。此外，科创板股票网下发行时，获配账户存在被随机抽中设置一定期限限售期的可能，由此可能导致基金面临无法及时变现及其他相关流动性风险。</w:t>
      </w:r>
    </w:p>
    <w:p w:rsidR="00A24FE4" w:rsidRPr="00286323" w:rsidRDefault="00A24FE4" w:rsidP="00A24FE4">
      <w:pPr>
        <w:autoSpaceDE w:val="0"/>
        <w:autoSpaceDN w:val="0"/>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（4）监管规则变化的风险</w:t>
      </w:r>
    </w:p>
    <w:p w:rsidR="00A24FE4" w:rsidRPr="00286323" w:rsidRDefault="00A24FE4" w:rsidP="00A24FE4">
      <w:pPr>
        <w:autoSpaceDE w:val="0"/>
        <w:autoSpaceDN w:val="0"/>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科创板股票相关法律、行政法规、部门规章、规范性文件和交易所业务规则，可能根据市场情况进行修改完善，或者补充制定新的法律法规和业务规则，导致基金投资运作产生相应调整变化。</w:t>
      </w:r>
    </w:p>
    <w:p w:rsidR="00F76EEB" w:rsidRPr="00286323" w:rsidRDefault="00155EFC" w:rsidP="00F76EEB">
      <w:pPr>
        <w:autoSpaceDE w:val="0"/>
        <w:autoSpaceDN w:val="0"/>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5</w:t>
      </w:r>
      <w:r w:rsidR="00F76EEB" w:rsidRPr="00286323">
        <w:rPr>
          <w:rFonts w:asciiTheme="minorEastAsia" w:eastAsiaTheme="minorEastAsia" w:hAnsiTheme="minorEastAsia" w:cs="Arial" w:hint="eastAsia"/>
          <w:color w:val="000000" w:themeColor="text1"/>
        </w:rPr>
        <w:t>、投资于存托凭证的风险</w:t>
      </w:r>
    </w:p>
    <w:p w:rsidR="00F76EEB" w:rsidRPr="00286323" w:rsidRDefault="00F76EEB" w:rsidP="00F76EEB">
      <w:pPr>
        <w:autoSpaceDE w:val="0"/>
        <w:autoSpaceDN w:val="0"/>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本基金的投资范围包括存托凭证，除与其他仅投资于沪深市场股票的基金所面临的共同风险外，本基金还将面临存托凭证价格大幅波动甚至出现较大亏损的风险，以及与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1A7CDB" w:rsidRPr="00286323" w:rsidRDefault="001A7CDB" w:rsidP="005F0E3E">
      <w:pPr>
        <w:pStyle w:val="20"/>
        <w:numPr>
          <w:ilvl w:val="0"/>
          <w:numId w:val="23"/>
        </w:numPr>
        <w:snapToGrid w:val="0"/>
        <w:spacing w:beforeLines="0" w:afterLines="0" w:line="360" w:lineRule="auto"/>
        <w:ind w:leftChars="-135" w:left="0" w:hangingChars="101" w:hanging="283"/>
        <w:rPr>
          <w:rFonts w:asciiTheme="minorEastAsia" w:eastAsiaTheme="minorEastAsia" w:hAnsiTheme="minorEastAsia" w:cs="Arial"/>
          <w:b w:val="0"/>
          <w:color w:val="000000" w:themeColor="text1"/>
        </w:rPr>
      </w:pPr>
      <w:r w:rsidRPr="00286323">
        <w:rPr>
          <w:rFonts w:asciiTheme="minorEastAsia" w:eastAsiaTheme="minorEastAsia" w:hAnsiTheme="minorEastAsia" w:cs="Arial" w:hint="eastAsia"/>
          <w:b w:val="0"/>
          <w:color w:val="000000" w:themeColor="text1"/>
        </w:rPr>
        <w:lastRenderedPageBreak/>
        <w:t>市场风险</w:t>
      </w:r>
    </w:p>
    <w:p w:rsidR="001A7CDB" w:rsidRPr="00286323" w:rsidRDefault="001A7CDB" w:rsidP="00F71D3B">
      <w:pPr>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本</w:t>
      </w:r>
      <w:r w:rsidRPr="00286323">
        <w:rPr>
          <w:rFonts w:asciiTheme="minorEastAsia" w:eastAsiaTheme="minorEastAsia" w:hAnsiTheme="minorEastAsia" w:cs="Arial"/>
          <w:color w:val="000000" w:themeColor="text1"/>
        </w:rPr>
        <w:t>基金投资于证券市场</w:t>
      </w:r>
      <w:r w:rsidRPr="00286323">
        <w:rPr>
          <w:rFonts w:asciiTheme="minorEastAsia" w:eastAsiaTheme="minorEastAsia" w:hAnsiTheme="minorEastAsia" w:cs="Arial" w:hint="eastAsia"/>
          <w:color w:val="000000" w:themeColor="text1"/>
        </w:rPr>
        <w:t>、期货市场</w:t>
      </w:r>
      <w:r w:rsidRPr="00286323">
        <w:rPr>
          <w:rFonts w:asciiTheme="minorEastAsia" w:eastAsiaTheme="minorEastAsia" w:hAnsiTheme="minorEastAsia" w:cs="Arial"/>
          <w:color w:val="000000" w:themeColor="text1"/>
        </w:rPr>
        <w:t>，而证券市场价格因受到经济因素、政治因素、投资</w:t>
      </w:r>
      <w:r w:rsidRPr="00286323">
        <w:rPr>
          <w:rFonts w:asciiTheme="minorEastAsia" w:eastAsiaTheme="minorEastAsia" w:hAnsiTheme="minorEastAsia" w:cs="Arial" w:hint="eastAsia"/>
          <w:color w:val="000000" w:themeColor="text1"/>
        </w:rPr>
        <w:t>者</w:t>
      </w:r>
      <w:r w:rsidRPr="00286323">
        <w:rPr>
          <w:rFonts w:asciiTheme="minorEastAsia" w:eastAsiaTheme="minorEastAsia" w:hAnsiTheme="minorEastAsia" w:cs="Arial"/>
          <w:color w:val="000000" w:themeColor="text1"/>
        </w:rPr>
        <w:t>心理和交易制度等各种因素的影响而产生波动，从而导致基金收益水平发生变化，产生风险。主要的风险因素包括：</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w:t>
      </w:r>
      <w:r w:rsidRPr="00286323">
        <w:rPr>
          <w:rFonts w:asciiTheme="minorEastAsia" w:eastAsiaTheme="minorEastAsia" w:hAnsiTheme="minorEastAsia" w:cs="Arial"/>
          <w:color w:val="000000" w:themeColor="text1"/>
        </w:rPr>
        <w:t>政策风险。因财政政策、货币政策、产业政策、地区发展政策等国家宏观政策发生变化，导致市场价格波动，影响基金收益而产生风险。</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2、</w:t>
      </w:r>
      <w:r w:rsidRPr="00286323">
        <w:rPr>
          <w:rFonts w:asciiTheme="minorEastAsia" w:eastAsiaTheme="minorEastAsia" w:hAnsiTheme="minorEastAsia" w:cs="Arial"/>
          <w:color w:val="000000" w:themeColor="text1"/>
        </w:rPr>
        <w:t>经济周期风险。随着经济运行的周期性变化，证券市场的收益水平也呈周期性变化，基金投资的收益水平也会随之变化，从而产生风险。</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3、</w:t>
      </w:r>
      <w:r w:rsidRPr="00286323">
        <w:rPr>
          <w:rFonts w:asciiTheme="minorEastAsia" w:eastAsiaTheme="minorEastAsia" w:hAnsiTheme="minorEastAsia" w:cs="Arial"/>
          <w:color w:val="000000" w:themeColor="text1"/>
        </w:rPr>
        <w:t>利率风险。金融市场利率的波动会导致证券市场价格和收益率的变动。利率直接影响着债券的价格和收益率，影响着企业的融资成本和利润。基金投资于债券和股票，其收益水平可能会受到利率变化的影响。</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4、</w:t>
      </w:r>
      <w:r w:rsidRPr="00286323">
        <w:rPr>
          <w:rFonts w:asciiTheme="minorEastAsia" w:eastAsiaTheme="minorEastAsia" w:hAnsiTheme="minorEastAsia" w:cs="Arial"/>
          <w:color w:val="000000" w:themeColor="text1"/>
        </w:rPr>
        <w:t>上市公司经营风险。上市公司的经营状况受多种因素的影响，如管理能力、行业竞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5、</w:t>
      </w:r>
      <w:r w:rsidRPr="00286323">
        <w:rPr>
          <w:rFonts w:asciiTheme="minorEastAsia" w:eastAsiaTheme="minorEastAsia" w:hAnsiTheme="minorEastAsia" w:cs="Arial"/>
          <w:color w:val="000000" w:themeColor="text1"/>
        </w:rPr>
        <w:t>购买力风险。基金份额持有人收益将主要通过现金形式来分配，而现金可能因为通货膨胀因素而使其购买力下降,从而使基金的实际收益下降。</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6、信用风险。信</w:t>
      </w:r>
      <w:r w:rsidRPr="00286323">
        <w:rPr>
          <w:rFonts w:asciiTheme="minorEastAsia" w:eastAsiaTheme="minorEastAsia" w:hAnsiTheme="minorEastAsia" w:cs="Arial"/>
          <w:color w:val="000000" w:themeColor="text1"/>
        </w:rPr>
        <w:t>用风险是指基金在交易过程发生交收违约，或者基金所投资债券之发行人出现违约、拒绝支付到期本息，都可能导致基金资产损失和收益变化</w:t>
      </w:r>
      <w:r w:rsidRPr="00286323">
        <w:rPr>
          <w:rFonts w:asciiTheme="minorEastAsia" w:eastAsiaTheme="minorEastAsia" w:hAnsiTheme="minorEastAsia" w:cs="Arial" w:hint="eastAsia"/>
          <w:color w:val="000000" w:themeColor="text1"/>
        </w:rPr>
        <w:t>。</w:t>
      </w:r>
    </w:p>
    <w:p w:rsidR="001A7CDB" w:rsidRPr="00286323" w:rsidRDefault="001A7CDB" w:rsidP="005F0E3E">
      <w:pPr>
        <w:pStyle w:val="20"/>
        <w:numPr>
          <w:ilvl w:val="0"/>
          <w:numId w:val="23"/>
        </w:numPr>
        <w:snapToGrid w:val="0"/>
        <w:spacing w:beforeLines="0" w:afterLines="0" w:line="360" w:lineRule="auto"/>
        <w:ind w:leftChars="-135" w:left="0" w:hangingChars="101" w:hanging="283"/>
        <w:rPr>
          <w:rFonts w:asciiTheme="minorEastAsia" w:eastAsiaTheme="minorEastAsia" w:hAnsiTheme="minorEastAsia" w:cs="Arial"/>
          <w:b w:val="0"/>
          <w:color w:val="000000" w:themeColor="text1"/>
        </w:rPr>
      </w:pPr>
      <w:r w:rsidRPr="00286323">
        <w:rPr>
          <w:rFonts w:asciiTheme="minorEastAsia" w:eastAsiaTheme="minorEastAsia" w:hAnsiTheme="minorEastAsia" w:cs="Arial" w:hint="eastAsia"/>
          <w:b w:val="0"/>
          <w:color w:val="000000" w:themeColor="text1"/>
        </w:rPr>
        <w:t>管理风险</w:t>
      </w:r>
    </w:p>
    <w:p w:rsidR="001A7CDB" w:rsidRPr="00286323" w:rsidRDefault="001A7CDB" w:rsidP="00F71D3B">
      <w:pPr>
        <w:autoSpaceDE w:val="0"/>
        <w:autoSpaceDN w:val="0"/>
        <w:snapToGrid w:val="0"/>
        <w:spacing w:line="360" w:lineRule="auto"/>
        <w:ind w:firstLine="420"/>
        <w:rPr>
          <w:rFonts w:asciiTheme="minorEastAsia" w:eastAsiaTheme="minorEastAsia" w:hAnsiTheme="minorEastAsia"/>
          <w:color w:val="000000" w:themeColor="text1"/>
        </w:rPr>
      </w:pPr>
      <w:r w:rsidRPr="00286323">
        <w:rPr>
          <w:rFonts w:asciiTheme="minorEastAsia" w:eastAsiaTheme="minorEastAsia" w:hAnsiTheme="minorEastAsia" w:cs="Arial" w:hint="eastAsia"/>
          <w:color w:val="000000" w:themeColor="text1"/>
        </w:rPr>
        <w:t>在基金资产运作过程中，基金管理人的</w:t>
      </w:r>
      <w:r w:rsidRPr="00286323">
        <w:rPr>
          <w:rFonts w:asciiTheme="minorEastAsia" w:eastAsiaTheme="minorEastAsia" w:hAnsiTheme="minorEastAsia" w:hint="eastAsia"/>
          <w:color w:val="000000" w:themeColor="text1"/>
        </w:rPr>
        <w:t>知识、经验、判断、决策、技能、</w:t>
      </w:r>
      <w:r w:rsidRPr="00286323">
        <w:rPr>
          <w:rFonts w:asciiTheme="minorEastAsia" w:eastAsiaTheme="minorEastAsia" w:hAnsiTheme="minorEastAsia" w:cs="Arial" w:hint="eastAsia"/>
          <w:color w:val="000000" w:themeColor="text1"/>
        </w:rPr>
        <w:t>研究水平（包括定性研究和定量研究）、投资管理水平直接影响基金资产收益水平。如果基金管理人对经济形势和证券、期货市场判断不准确、获取的信息不完整、在设计与建立统计模型时未能全面考虑影响因素、市场表现与模型预测不一致、选择了不适当的风险暴露水平，或者对不同资产间价差变动的方向判断不准确，都会影响基金资产的收益水平。</w:t>
      </w:r>
      <w:r w:rsidRPr="00286323">
        <w:rPr>
          <w:rFonts w:asciiTheme="minorEastAsia" w:eastAsiaTheme="minorEastAsia" w:hAnsiTheme="minorEastAsia" w:hint="eastAsia"/>
          <w:color w:val="000000" w:themeColor="text1"/>
        </w:rPr>
        <w:t>此外，基金管理人与基金托管人的管理手段和管理技术等因素的变化也会影响基金收益水平。</w:t>
      </w:r>
    </w:p>
    <w:p w:rsidR="001A7CDB" w:rsidRPr="00286323" w:rsidRDefault="001A7CDB" w:rsidP="005F0E3E">
      <w:pPr>
        <w:pStyle w:val="20"/>
        <w:numPr>
          <w:ilvl w:val="0"/>
          <w:numId w:val="23"/>
        </w:numPr>
        <w:snapToGrid w:val="0"/>
        <w:spacing w:beforeLines="0" w:afterLines="0" w:line="360" w:lineRule="auto"/>
        <w:ind w:leftChars="-135" w:left="0" w:hangingChars="101" w:hanging="283"/>
        <w:rPr>
          <w:rFonts w:asciiTheme="minorEastAsia" w:eastAsiaTheme="minorEastAsia" w:hAnsiTheme="minorEastAsia" w:cs="Arial"/>
          <w:b w:val="0"/>
          <w:color w:val="000000" w:themeColor="text1"/>
        </w:rPr>
      </w:pPr>
      <w:r w:rsidRPr="00286323">
        <w:rPr>
          <w:rFonts w:asciiTheme="minorEastAsia" w:eastAsiaTheme="minorEastAsia" w:hAnsiTheme="minorEastAsia" w:cs="Arial"/>
          <w:b w:val="0"/>
          <w:color w:val="000000" w:themeColor="text1"/>
        </w:rPr>
        <w:t>流动性风险</w:t>
      </w:r>
    </w:p>
    <w:p w:rsidR="007D6B5E" w:rsidRPr="00286323" w:rsidRDefault="007D6B5E" w:rsidP="007D6B5E">
      <w:pPr>
        <w:autoSpaceDE w:val="0"/>
        <w:autoSpaceDN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（1）拟投资市场、行业及资产的流动性风险评估</w:t>
      </w:r>
    </w:p>
    <w:p w:rsidR="007D6B5E" w:rsidRPr="00286323" w:rsidRDefault="007D6B5E" w:rsidP="007D6B5E">
      <w:pPr>
        <w:autoSpaceDE w:val="0"/>
        <w:autoSpaceDN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本基金为</w:t>
      </w:r>
      <w:r w:rsidR="00AA15B0" w:rsidRPr="00286323">
        <w:rPr>
          <w:rFonts w:asciiTheme="minorEastAsia" w:eastAsiaTheme="minorEastAsia" w:hAnsiTheme="minorEastAsia" w:cs="Arial" w:hint="eastAsia"/>
          <w:color w:val="000000" w:themeColor="text1"/>
        </w:rPr>
        <w:t>沪深300指数增强型基金</w:t>
      </w:r>
      <w:r w:rsidRPr="00286323">
        <w:rPr>
          <w:rFonts w:asciiTheme="minorEastAsia" w:eastAsiaTheme="minorEastAsia" w:hAnsiTheme="minorEastAsia" w:cs="Arial" w:hint="eastAsia"/>
          <w:color w:val="000000" w:themeColor="text1"/>
        </w:rPr>
        <w:t>，主要投资</w:t>
      </w:r>
      <w:r w:rsidR="00AA15B0" w:rsidRPr="00286323">
        <w:rPr>
          <w:rFonts w:asciiTheme="minorEastAsia" w:eastAsiaTheme="minorEastAsia" w:hAnsiTheme="minorEastAsia" w:cs="Arial" w:hint="eastAsia"/>
          <w:color w:val="000000" w:themeColor="text1"/>
        </w:rPr>
        <w:t>于包括标的指数成份股和备选成份股在内的具有良好流动性的金融工具</w:t>
      </w:r>
      <w:r w:rsidRPr="00286323">
        <w:rPr>
          <w:rFonts w:asciiTheme="minorEastAsia" w:eastAsiaTheme="minorEastAsia" w:hAnsiTheme="minorEastAsia" w:cs="Arial" w:hint="eastAsia"/>
          <w:color w:val="000000" w:themeColor="text1"/>
        </w:rPr>
        <w:t>，一般情况下，上述投资标的流动性较好，但不排除在特定阶段、特定市场环境下特定投资标的出现流动性较差的情况。因此，本基金投资于上述资产时，可能存在以下流动性风险：一是基金管理人建仓时或为实现收益而进行组合调整时，</w:t>
      </w:r>
      <w:r w:rsidRPr="00286323">
        <w:rPr>
          <w:rFonts w:asciiTheme="minorEastAsia" w:eastAsiaTheme="minorEastAsia" w:hAnsiTheme="minorEastAsia" w:cs="Arial" w:hint="eastAsia"/>
          <w:color w:val="000000" w:themeColor="text1"/>
        </w:rPr>
        <w:lastRenderedPageBreak/>
        <w:t>可能由于市场流动性相对不足而无法按预期的价格将股票或债券买进或卖出；二是为应付投资人的赎回，基金管理人的现金支付出现困难，被迫在不适当的价格大量抛售股票或债券。两者均可能使基金净值受到不利影响。</w:t>
      </w:r>
    </w:p>
    <w:p w:rsidR="007D6B5E" w:rsidRPr="00286323" w:rsidRDefault="007D6B5E" w:rsidP="007D6B5E">
      <w:pPr>
        <w:autoSpaceDE w:val="0"/>
        <w:autoSpaceDN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（2）巨额赎回情形下的流动性风险管理措施</w:t>
      </w:r>
    </w:p>
    <w:p w:rsidR="007D6B5E" w:rsidRPr="00286323" w:rsidRDefault="007D6B5E" w:rsidP="007D6B5E">
      <w:pPr>
        <w:autoSpaceDE w:val="0"/>
        <w:autoSpaceDN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当本基金发生巨额赎回时，基金管理人可以根据基金当时的资产组合状况决定全额赎回或部分延期赎回；此外，如出现连续2个开放日以上发生巨额赎回时，可暂停接受投资人的赎回申请或延缓支付赎回款项；当本基金发生巨额赎回且单个基金份额持有人的赎回申请超过上一开放日基金总份额10%的，基金管理人有权对该单个基金份额持有人超出该比例的赎回申请实施延期办理。具体情形、程序见招募说明书“八、基金份额的申购、赎回”</w:t>
      </w:r>
      <w:r w:rsidR="005F641C" w:rsidRPr="00286323">
        <w:rPr>
          <w:rFonts w:asciiTheme="minorEastAsia" w:eastAsiaTheme="minorEastAsia" w:hAnsiTheme="minorEastAsia" w:cs="Arial" w:hint="eastAsia"/>
          <w:color w:val="000000" w:themeColor="text1"/>
        </w:rPr>
        <w:t>之</w:t>
      </w:r>
      <w:r w:rsidRPr="00286323">
        <w:rPr>
          <w:rFonts w:asciiTheme="minorEastAsia" w:eastAsiaTheme="minorEastAsia" w:hAnsiTheme="minorEastAsia" w:cs="Arial" w:hint="eastAsia"/>
          <w:color w:val="000000" w:themeColor="text1"/>
        </w:rPr>
        <w:t>“（十）巨额赎回的情形及处理方式”。</w:t>
      </w:r>
    </w:p>
    <w:p w:rsidR="007D6B5E" w:rsidRPr="00286323" w:rsidRDefault="007D6B5E" w:rsidP="007D6B5E">
      <w:pPr>
        <w:autoSpaceDE w:val="0"/>
        <w:autoSpaceDN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发生上述情形时，投资人面临无法全部赎回或无法及时获得赎回资金的风险。在本基金暂停或延期办理投资者赎回申请的情况下，投资者未能赎回的基金份额还将面临净值波动的风险。</w:t>
      </w:r>
    </w:p>
    <w:p w:rsidR="007D6B5E" w:rsidRPr="00286323" w:rsidRDefault="007D6B5E" w:rsidP="007D6B5E">
      <w:pPr>
        <w:autoSpaceDE w:val="0"/>
        <w:autoSpaceDN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（3）除场外份额巨额赎回情形外实施备用的流动性风险管理工具的情形、程序及对投资者的潜在影响</w:t>
      </w:r>
    </w:p>
    <w:p w:rsidR="007D6B5E" w:rsidRPr="00286323" w:rsidRDefault="007D6B5E" w:rsidP="007D6B5E">
      <w:pPr>
        <w:autoSpaceDE w:val="0"/>
        <w:autoSpaceDN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除场外份额巨额赎回情形外，本基金备用流动性风险管理工具包括但不限于暂停接受赎回申请、延缓支付赎回款项、暂停基金估值以及证监会认定的其他措施。</w:t>
      </w:r>
    </w:p>
    <w:p w:rsidR="007D6B5E" w:rsidRPr="00286323" w:rsidRDefault="007D6B5E" w:rsidP="007D6B5E">
      <w:pPr>
        <w:autoSpaceDE w:val="0"/>
        <w:autoSpaceDN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暂停接受赎回申请、延缓支付赎回款项等工具的情形、程序见招募说明书“八、基金份额的申购、赎回”之“（十一）拒绝或暂停申购、暂停赎回或延缓支付赎回款项的情形及处理方式”的相关规定。若本基金暂停赎回申请，投资者在暂停赎回期间将无法赎回其持有的基金份额。若本基金延缓支付赎回款项，赎回款支付时间将后延，可能对投资者的资金安排带来不利影响。</w:t>
      </w:r>
    </w:p>
    <w:p w:rsidR="007D6B5E" w:rsidRPr="00286323" w:rsidRDefault="007D6B5E" w:rsidP="007D6B5E">
      <w:pPr>
        <w:autoSpaceDE w:val="0"/>
        <w:autoSpaceDN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短期赎回费适用于持续持有期少于7日的投资者，费率为1.5%。短期赎回费由赎回基金份额的基金份额持有人承担，在基金份额持有人赎回基金份额时收取，并全额计入基金财产。短期赎回费的收取将使得投资者在持续持有期限少于7日时会承担较高的赎回费。</w:t>
      </w:r>
    </w:p>
    <w:p w:rsidR="007D6B5E" w:rsidRPr="00286323" w:rsidRDefault="007D6B5E" w:rsidP="007D6B5E">
      <w:pPr>
        <w:autoSpaceDE w:val="0"/>
        <w:autoSpaceDN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暂停基金估值的情形、程序见招募说明书“十四、基金资产估值”之“（七）暂停估值的情形”的相关规定。若本基金暂停基金估值，一方面投资者将无法知晓本基金的基金份额净值，另一方面基金将暂停接受申购赎回申请或延缓支付赎回款项，将导致投资者无法申购或赎回本基金，或赎回款支付时间将后延，可能对投资者的资金安排带来不利影响。</w:t>
      </w:r>
    </w:p>
    <w:p w:rsidR="005F5F9E" w:rsidRPr="00286323" w:rsidRDefault="005F5F9E" w:rsidP="006D6AC5">
      <w:pPr>
        <w:pStyle w:val="20"/>
        <w:numPr>
          <w:ilvl w:val="0"/>
          <w:numId w:val="23"/>
        </w:numPr>
        <w:snapToGrid w:val="0"/>
        <w:spacing w:beforeLines="0" w:afterLines="0" w:line="360" w:lineRule="auto"/>
        <w:ind w:leftChars="-135" w:left="0" w:hangingChars="101" w:hanging="283"/>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b w:val="0"/>
          <w:color w:val="000000" w:themeColor="text1"/>
        </w:rPr>
        <w:lastRenderedPageBreak/>
        <w:t>本基金法律文件中涉及基金风险特征的表述与销售机构对基金的风险评级可能不一致的风险</w:t>
      </w:r>
    </w:p>
    <w:p w:rsidR="005F5F9E" w:rsidRPr="00286323" w:rsidRDefault="005F5F9E" w:rsidP="005F5F9E">
      <w:pPr>
        <w:autoSpaceDE w:val="0"/>
        <w:autoSpaceDN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1A7CDB" w:rsidRPr="00286323" w:rsidRDefault="001A7CDB" w:rsidP="005F0E3E">
      <w:pPr>
        <w:pStyle w:val="20"/>
        <w:numPr>
          <w:ilvl w:val="0"/>
          <w:numId w:val="23"/>
        </w:numPr>
        <w:snapToGrid w:val="0"/>
        <w:spacing w:beforeLines="0" w:afterLines="0" w:line="360" w:lineRule="auto"/>
        <w:ind w:leftChars="-135" w:left="0" w:hangingChars="101" w:hanging="283"/>
        <w:rPr>
          <w:rFonts w:asciiTheme="minorEastAsia" w:eastAsiaTheme="minorEastAsia" w:hAnsiTheme="minorEastAsia" w:cs="Arial"/>
          <w:b w:val="0"/>
          <w:color w:val="000000" w:themeColor="text1"/>
        </w:rPr>
      </w:pPr>
      <w:r w:rsidRPr="00286323">
        <w:rPr>
          <w:rFonts w:asciiTheme="minorEastAsia" w:eastAsiaTheme="minorEastAsia" w:hAnsiTheme="minorEastAsia" w:cs="Arial" w:hint="eastAsia"/>
          <w:b w:val="0"/>
          <w:color w:val="000000" w:themeColor="text1"/>
        </w:rPr>
        <w:t>交易对手风险</w:t>
      </w:r>
    </w:p>
    <w:p w:rsidR="001A7CDB" w:rsidRPr="00286323" w:rsidRDefault="001A7CDB" w:rsidP="00F71D3B">
      <w:pPr>
        <w:autoSpaceDE w:val="0"/>
        <w:autoSpaceDN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1、对手方风险</w:t>
      </w:r>
    </w:p>
    <w:p w:rsidR="001A7CDB" w:rsidRPr="00286323" w:rsidRDefault="001A7CDB" w:rsidP="00F71D3B">
      <w:pPr>
        <w:autoSpaceDE w:val="0"/>
        <w:autoSpaceDN w:val="0"/>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基金管理人运用基金资产投资于股指期货，会尽力选择资信状况优良、风险控制能力强的期货公司作为经纪商，但不能杜绝因所选择的期货公司在交易过程中存在违法、违规经营行为或破产清算导致基金资产遭受损失。另外，基金管理人在银行间市场进行交易，也会因为银行间交易对手违约等发生对手方风险。</w:t>
      </w:r>
    </w:p>
    <w:p w:rsidR="001A7CDB" w:rsidRPr="00286323" w:rsidRDefault="001A7CDB" w:rsidP="00F71D3B">
      <w:pPr>
        <w:autoSpaceDE w:val="0"/>
        <w:autoSpaceDN w:val="0"/>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2、连带风险</w:t>
      </w:r>
    </w:p>
    <w:p w:rsidR="001A7CDB" w:rsidRPr="00286323" w:rsidRDefault="001A7CDB" w:rsidP="00F71D3B">
      <w:pPr>
        <w:autoSpaceDE w:val="0"/>
        <w:autoSpaceDN w:val="0"/>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为基金资产进行结算的结算会员或该结算会员下的其他投资人出现保证金不足、又未能在规定的时间内补足，或因其他原因导致中金所对该结算会员下的经纪账户强行平仓时，基金资产的资产可能因被连带强行平仓而遭受损失。</w:t>
      </w:r>
    </w:p>
    <w:p w:rsidR="001A7CDB" w:rsidRPr="00286323" w:rsidRDefault="001A7CDB" w:rsidP="005F0E3E">
      <w:pPr>
        <w:pStyle w:val="20"/>
        <w:numPr>
          <w:ilvl w:val="0"/>
          <w:numId w:val="23"/>
        </w:numPr>
        <w:snapToGrid w:val="0"/>
        <w:spacing w:beforeLines="0" w:afterLines="0" w:line="360" w:lineRule="auto"/>
        <w:ind w:leftChars="-135" w:left="0" w:hangingChars="101" w:hanging="283"/>
        <w:rPr>
          <w:rFonts w:asciiTheme="minorEastAsia" w:eastAsiaTheme="minorEastAsia" w:hAnsiTheme="minorEastAsia" w:cs="Arial"/>
          <w:b w:val="0"/>
          <w:color w:val="000000" w:themeColor="text1"/>
        </w:rPr>
      </w:pPr>
      <w:r w:rsidRPr="00286323">
        <w:rPr>
          <w:rFonts w:asciiTheme="minorEastAsia" w:eastAsiaTheme="minorEastAsia" w:hAnsiTheme="minorEastAsia" w:cs="Arial"/>
          <w:b w:val="0"/>
          <w:color w:val="000000" w:themeColor="text1"/>
        </w:rPr>
        <w:t>其他风险</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hint="eastAsia"/>
          <w:color w:val="000000" w:themeColor="text1"/>
        </w:rPr>
        <w:t>1、因技术因素而产生的风险，如电脑系统不可靠产生的风险；</w:t>
      </w:r>
    </w:p>
    <w:p w:rsidR="001A7CDB" w:rsidRPr="00286323" w:rsidRDefault="001A7CDB"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w:t>
      </w:r>
      <w:r w:rsidRPr="00286323">
        <w:rPr>
          <w:rFonts w:asciiTheme="minorEastAsia" w:eastAsiaTheme="minorEastAsia" w:hAnsiTheme="minorEastAsia"/>
          <w:color w:val="000000" w:themeColor="text1"/>
        </w:rPr>
        <w:t>因战争、自然灾害等不可抗力导致的基金管理人、</w:t>
      </w:r>
      <w:r w:rsidRPr="00286323">
        <w:rPr>
          <w:rFonts w:asciiTheme="minorEastAsia" w:eastAsiaTheme="minorEastAsia" w:hAnsiTheme="minorEastAsia" w:hint="eastAsia"/>
          <w:color w:val="000000" w:themeColor="text1"/>
        </w:rPr>
        <w:t>基金托管人、</w:t>
      </w:r>
      <w:r w:rsidRPr="00286323">
        <w:rPr>
          <w:rFonts w:asciiTheme="minorEastAsia" w:eastAsiaTheme="minorEastAsia" w:hAnsiTheme="minorEastAsia"/>
          <w:color w:val="000000" w:themeColor="text1"/>
        </w:rPr>
        <w:t>基金</w:t>
      </w:r>
      <w:r w:rsidR="00E70AC3" w:rsidRPr="00286323">
        <w:rPr>
          <w:rFonts w:asciiTheme="minorEastAsia" w:eastAsiaTheme="minorEastAsia" w:hAnsiTheme="minorEastAsia" w:hint="eastAsia"/>
          <w:color w:val="000000" w:themeColor="text1"/>
        </w:rPr>
        <w:t>服务</w:t>
      </w:r>
      <w:r w:rsidRPr="00286323">
        <w:rPr>
          <w:rFonts w:asciiTheme="minorEastAsia" w:eastAsiaTheme="minorEastAsia" w:hAnsiTheme="minorEastAsia"/>
          <w:color w:val="000000" w:themeColor="text1"/>
        </w:rPr>
        <w:t>机构等机构无法正常工作，从而影响基金</w:t>
      </w:r>
      <w:r w:rsidRPr="00286323">
        <w:rPr>
          <w:rFonts w:asciiTheme="minorEastAsia" w:eastAsiaTheme="minorEastAsia" w:hAnsiTheme="minorEastAsia" w:hint="eastAsia"/>
          <w:color w:val="000000" w:themeColor="text1"/>
        </w:rPr>
        <w:t>运作</w:t>
      </w:r>
      <w:r w:rsidRPr="00286323">
        <w:rPr>
          <w:rFonts w:asciiTheme="minorEastAsia" w:eastAsiaTheme="minorEastAsia" w:hAnsiTheme="minorEastAsia"/>
          <w:color w:val="000000" w:themeColor="text1"/>
        </w:rPr>
        <w:t>的风险</w:t>
      </w:r>
      <w:r w:rsidRPr="00286323">
        <w:rPr>
          <w:rFonts w:asciiTheme="minorEastAsia" w:eastAsiaTheme="minorEastAsia" w:hAnsiTheme="minorEastAsia" w:hint="eastAsia"/>
          <w:color w:val="000000" w:themeColor="text1"/>
        </w:rPr>
        <w:t>；</w:t>
      </w:r>
    </w:p>
    <w:p w:rsidR="001A7CDB" w:rsidRPr="00286323" w:rsidRDefault="001A7CDB" w:rsidP="00F71D3B">
      <w:pPr>
        <w:autoSpaceDE w:val="0"/>
        <w:autoSpaceDN w:val="0"/>
        <w:snapToGrid w:val="0"/>
        <w:spacing w:line="360" w:lineRule="auto"/>
        <w:ind w:firstLine="420"/>
        <w:rPr>
          <w:rFonts w:asciiTheme="minorEastAsia" w:eastAsiaTheme="minorEastAsia" w:hAnsiTheme="minorEastAsia" w:cs="Arial"/>
          <w:color w:val="000000" w:themeColor="text1"/>
        </w:rPr>
      </w:pPr>
      <w:r w:rsidRPr="00286323">
        <w:rPr>
          <w:rFonts w:asciiTheme="minorEastAsia" w:eastAsiaTheme="minorEastAsia" w:hAnsiTheme="minorEastAsia" w:hint="eastAsia"/>
          <w:color w:val="000000" w:themeColor="text1"/>
        </w:rPr>
        <w:t>3、因金融市场危机、代理商违约、基金托管人违约等超出基金管理人自身控制能力的因素出现，可能导致基金或者基金份额持有人利益受损的风险</w:t>
      </w:r>
      <w:r w:rsidRPr="00286323">
        <w:rPr>
          <w:rFonts w:asciiTheme="minorEastAsia" w:eastAsiaTheme="minorEastAsia" w:hAnsiTheme="minorEastAsia" w:cs="Arial"/>
          <w:color w:val="000000" w:themeColor="text1"/>
        </w:rPr>
        <w:t>。</w:t>
      </w:r>
      <w:bookmarkEnd w:id="125"/>
      <w:bookmarkEnd w:id="126"/>
      <w:bookmarkEnd w:id="127"/>
      <w:bookmarkEnd w:id="128"/>
    </w:p>
    <w:p w:rsidR="001A7CDB" w:rsidRPr="00286323" w:rsidRDefault="001A7CDB" w:rsidP="00F71D3B">
      <w:pPr>
        <w:pStyle w:val="11"/>
        <w:numPr>
          <w:ilvl w:val="0"/>
          <w:numId w:val="9"/>
        </w:numPr>
        <w:snapToGrid w:val="0"/>
        <w:spacing w:beforeLines="0" w:afterLines="0" w:line="360" w:lineRule="auto"/>
        <w:ind w:firstLineChars="0"/>
        <w:rPr>
          <w:rFonts w:asciiTheme="minorEastAsia" w:eastAsiaTheme="minorEastAsia" w:hAnsiTheme="minorEastAsia" w:cs="Arial"/>
          <w:bCs/>
          <w:color w:val="000000" w:themeColor="text1"/>
        </w:rPr>
      </w:pPr>
      <w:bookmarkStart w:id="129" w:name="_Toc81922654"/>
      <w:r w:rsidRPr="00286323">
        <w:rPr>
          <w:rFonts w:asciiTheme="minorEastAsia" w:eastAsiaTheme="minorEastAsia" w:hAnsiTheme="minorEastAsia" w:cs="Arial" w:hint="eastAsia"/>
          <w:bCs/>
          <w:color w:val="000000" w:themeColor="text1"/>
        </w:rPr>
        <w:lastRenderedPageBreak/>
        <w:t>基金合同的变更、终止与基金财产的清算</w:t>
      </w:r>
      <w:bookmarkEnd w:id="129"/>
    </w:p>
    <w:p w:rsidR="001A7CDB" w:rsidRPr="00286323" w:rsidRDefault="007F521B" w:rsidP="005F0E3E">
      <w:pPr>
        <w:pStyle w:val="20"/>
        <w:numPr>
          <w:ilvl w:val="1"/>
          <w:numId w:val="9"/>
        </w:numPr>
        <w:snapToGrid w:val="0"/>
        <w:spacing w:beforeLines="0" w:afterLines="0" w:line="360" w:lineRule="auto"/>
        <w:ind w:leftChars="-67" w:left="-1" w:hangingChars="50" w:hanging="140"/>
        <w:rPr>
          <w:rFonts w:asciiTheme="minorEastAsia" w:eastAsiaTheme="minorEastAsia" w:hAnsiTheme="minorEastAsia" w:cs="Arial"/>
          <w:b w:val="0"/>
          <w:color w:val="000000" w:themeColor="text1"/>
        </w:rPr>
      </w:pPr>
      <w:bookmarkStart w:id="130" w:name="_Toc97031319"/>
      <w:bookmarkStart w:id="131" w:name="_Toc97107279"/>
      <w:bookmarkStart w:id="132" w:name="_Toc86584659"/>
      <w:bookmarkStart w:id="133" w:name="_Toc238870129"/>
      <w:bookmarkEnd w:id="130"/>
      <w:bookmarkEnd w:id="131"/>
      <w:r w:rsidRPr="00286323">
        <w:rPr>
          <w:rFonts w:asciiTheme="minorEastAsia" w:eastAsiaTheme="minorEastAsia" w:hAnsiTheme="minorEastAsia" w:cs="Arial"/>
          <w:b w:val="0"/>
          <w:color w:val="000000" w:themeColor="text1"/>
        </w:rPr>
        <w:t>《</w:t>
      </w:r>
      <w:r w:rsidR="001A7CDB" w:rsidRPr="00286323">
        <w:rPr>
          <w:rFonts w:asciiTheme="minorEastAsia" w:eastAsiaTheme="minorEastAsia" w:hAnsiTheme="minorEastAsia" w:cs="Arial"/>
          <w:b w:val="0"/>
          <w:color w:val="000000" w:themeColor="text1"/>
        </w:rPr>
        <w:t>基金合同</w:t>
      </w:r>
      <w:r w:rsidRPr="00286323">
        <w:rPr>
          <w:rFonts w:asciiTheme="minorEastAsia" w:eastAsiaTheme="minorEastAsia" w:hAnsiTheme="minorEastAsia" w:cs="Arial"/>
          <w:b w:val="0"/>
          <w:color w:val="000000" w:themeColor="text1"/>
        </w:rPr>
        <w:t>》</w:t>
      </w:r>
      <w:r w:rsidR="001A7CDB" w:rsidRPr="00286323">
        <w:rPr>
          <w:rFonts w:asciiTheme="minorEastAsia" w:eastAsiaTheme="minorEastAsia" w:hAnsiTheme="minorEastAsia" w:cs="Arial"/>
          <w:b w:val="0"/>
          <w:color w:val="000000" w:themeColor="text1"/>
        </w:rPr>
        <w:t>的变更</w:t>
      </w:r>
    </w:p>
    <w:p w:rsidR="001A7CDB" w:rsidRPr="00286323" w:rsidRDefault="001A7CDB" w:rsidP="00F71D3B">
      <w:pPr>
        <w:autoSpaceDE w:val="0"/>
        <w:autoSpaceDN w:val="0"/>
        <w:adjustRightInd w:val="0"/>
        <w:snapToGrid w:val="0"/>
        <w:spacing w:line="360" w:lineRule="auto"/>
        <w:ind w:firstLineChars="200" w:firstLine="420"/>
        <w:jc w:val="left"/>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1、变更基金合同</w:t>
      </w:r>
      <w:r w:rsidRPr="00286323">
        <w:rPr>
          <w:rFonts w:asciiTheme="minorEastAsia" w:eastAsiaTheme="minorEastAsia" w:hAnsiTheme="minorEastAsia" w:hint="eastAsia"/>
          <w:bCs/>
          <w:color w:val="000000" w:themeColor="text1"/>
        </w:rPr>
        <w:t>涉及</w:t>
      </w:r>
      <w:r w:rsidRPr="00286323">
        <w:rPr>
          <w:rFonts w:asciiTheme="minorEastAsia" w:eastAsiaTheme="minorEastAsia" w:hAnsiTheme="minorEastAsia"/>
          <w:bCs/>
          <w:color w:val="000000" w:themeColor="text1"/>
        </w:rPr>
        <w:t>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1A7CDB" w:rsidRPr="00286323" w:rsidRDefault="00D5372B" w:rsidP="00EF0899">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2</w:t>
      </w:r>
      <w:r w:rsidRPr="00286323">
        <w:rPr>
          <w:rFonts w:asciiTheme="minorEastAsia" w:eastAsiaTheme="minorEastAsia" w:hAnsiTheme="minorEastAsia" w:cs="Arial" w:hint="eastAsia"/>
          <w:color w:val="000000" w:themeColor="text1"/>
        </w:rPr>
        <w:t>、关于《基金合同》变更的基金份额持有人大会决议经中国证监会核准或出具无异议意见之日起生效，自决议生效之日起</w:t>
      </w:r>
      <w:r w:rsidRPr="00286323">
        <w:rPr>
          <w:rFonts w:asciiTheme="minorEastAsia" w:eastAsiaTheme="minorEastAsia" w:hAnsiTheme="minorEastAsia" w:cs="Arial"/>
          <w:color w:val="000000" w:themeColor="text1"/>
        </w:rPr>
        <w:t>2</w:t>
      </w:r>
      <w:r w:rsidRPr="00286323">
        <w:rPr>
          <w:rFonts w:asciiTheme="minorEastAsia" w:eastAsiaTheme="minorEastAsia" w:hAnsiTheme="minorEastAsia" w:cs="Arial" w:hint="eastAsia"/>
          <w:color w:val="000000" w:themeColor="text1"/>
        </w:rPr>
        <w:t>日内在指定媒介公告。</w:t>
      </w:r>
    </w:p>
    <w:p w:rsidR="001A7CDB" w:rsidRPr="00286323" w:rsidRDefault="007F521B" w:rsidP="005F0E3E">
      <w:pPr>
        <w:pStyle w:val="20"/>
        <w:numPr>
          <w:ilvl w:val="1"/>
          <w:numId w:val="9"/>
        </w:numPr>
        <w:snapToGrid w:val="0"/>
        <w:spacing w:beforeLines="0" w:afterLines="0" w:line="360" w:lineRule="auto"/>
        <w:ind w:leftChars="-67" w:left="-1" w:hangingChars="50" w:hanging="140"/>
        <w:rPr>
          <w:rFonts w:asciiTheme="minorEastAsia" w:eastAsiaTheme="minorEastAsia" w:hAnsiTheme="minorEastAsia" w:cs="Arial"/>
          <w:b w:val="0"/>
          <w:color w:val="000000" w:themeColor="text1"/>
        </w:rPr>
      </w:pPr>
      <w:r w:rsidRPr="00286323">
        <w:rPr>
          <w:rFonts w:asciiTheme="minorEastAsia" w:eastAsiaTheme="minorEastAsia" w:hAnsiTheme="minorEastAsia" w:cs="Arial"/>
          <w:b w:val="0"/>
          <w:color w:val="000000" w:themeColor="text1"/>
        </w:rPr>
        <w:t>《</w:t>
      </w:r>
      <w:r w:rsidR="001A7CDB" w:rsidRPr="00286323">
        <w:rPr>
          <w:rFonts w:asciiTheme="minorEastAsia" w:eastAsiaTheme="minorEastAsia" w:hAnsiTheme="minorEastAsia" w:cs="Arial"/>
          <w:b w:val="0"/>
          <w:color w:val="000000" w:themeColor="text1"/>
        </w:rPr>
        <w:t>基金合同</w:t>
      </w:r>
      <w:r w:rsidRPr="00286323">
        <w:rPr>
          <w:rFonts w:asciiTheme="minorEastAsia" w:eastAsiaTheme="minorEastAsia" w:hAnsiTheme="minorEastAsia" w:cs="Arial"/>
          <w:b w:val="0"/>
          <w:color w:val="000000" w:themeColor="text1"/>
        </w:rPr>
        <w:t>》</w:t>
      </w:r>
      <w:r w:rsidR="001A7CDB" w:rsidRPr="00286323">
        <w:rPr>
          <w:rFonts w:asciiTheme="minorEastAsia" w:eastAsiaTheme="minorEastAsia" w:hAnsiTheme="minorEastAsia" w:cs="Arial"/>
          <w:b w:val="0"/>
          <w:color w:val="000000" w:themeColor="text1"/>
        </w:rPr>
        <w:t>的终止</w:t>
      </w:r>
      <w:r w:rsidRPr="00286323">
        <w:rPr>
          <w:rFonts w:asciiTheme="minorEastAsia" w:eastAsiaTheme="minorEastAsia" w:hAnsiTheme="minorEastAsia" w:cs="Arial"/>
          <w:b w:val="0"/>
          <w:color w:val="000000" w:themeColor="text1"/>
        </w:rPr>
        <w:t>事由</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有下列情形之一的，</w:t>
      </w:r>
      <w:r w:rsidR="007F521B" w:rsidRPr="00286323">
        <w:rPr>
          <w:rFonts w:asciiTheme="minorEastAsia" w:eastAsiaTheme="minorEastAsia" w:hAnsiTheme="minorEastAsia" w:cs="Arial" w:hint="eastAsia"/>
          <w:color w:val="000000" w:themeColor="text1"/>
        </w:rPr>
        <w:t>《</w:t>
      </w:r>
      <w:r w:rsidRPr="00286323">
        <w:rPr>
          <w:rFonts w:asciiTheme="minorEastAsia" w:eastAsiaTheme="minorEastAsia" w:hAnsiTheme="minorEastAsia" w:cs="Arial"/>
          <w:color w:val="000000" w:themeColor="text1"/>
        </w:rPr>
        <w:t>基金合同</w:t>
      </w:r>
      <w:r w:rsidR="007F521B" w:rsidRPr="00286323">
        <w:rPr>
          <w:rFonts w:asciiTheme="minorEastAsia" w:eastAsiaTheme="minorEastAsia" w:hAnsiTheme="minorEastAsia" w:cs="Arial" w:hint="eastAsia"/>
          <w:color w:val="000000" w:themeColor="text1"/>
        </w:rPr>
        <w:t>》</w:t>
      </w:r>
      <w:r w:rsidRPr="00286323">
        <w:rPr>
          <w:rFonts w:asciiTheme="minorEastAsia" w:eastAsiaTheme="minorEastAsia" w:hAnsiTheme="minorEastAsia" w:cs="Arial"/>
          <w:color w:val="000000" w:themeColor="text1"/>
        </w:rPr>
        <w:t>应当终止：</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1、基金份额持有人大会决定终止的；</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2、基金管理人、基金托管人职责终止，在6个月内没有新基金管理人、新基金托管人承接的；</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3、《基金合同》约定的其他情形；</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4、相关法律法规和中国证监会规定的其他情况。</w:t>
      </w:r>
    </w:p>
    <w:p w:rsidR="001A7CDB" w:rsidRPr="00286323" w:rsidRDefault="001A7CDB" w:rsidP="005F0E3E">
      <w:pPr>
        <w:pStyle w:val="20"/>
        <w:numPr>
          <w:ilvl w:val="1"/>
          <w:numId w:val="9"/>
        </w:numPr>
        <w:snapToGrid w:val="0"/>
        <w:spacing w:beforeLines="0" w:afterLines="0" w:line="360" w:lineRule="auto"/>
        <w:ind w:leftChars="-67" w:left="-1" w:hangingChars="50" w:hanging="140"/>
        <w:rPr>
          <w:rFonts w:asciiTheme="minorEastAsia" w:eastAsiaTheme="minorEastAsia" w:hAnsiTheme="minorEastAsia" w:cs="Arial"/>
          <w:b w:val="0"/>
          <w:color w:val="000000" w:themeColor="text1"/>
        </w:rPr>
      </w:pPr>
      <w:r w:rsidRPr="00286323">
        <w:rPr>
          <w:rFonts w:asciiTheme="minorEastAsia" w:eastAsiaTheme="minorEastAsia" w:hAnsiTheme="minorEastAsia" w:cs="Arial"/>
          <w:b w:val="0"/>
          <w:color w:val="000000" w:themeColor="text1"/>
        </w:rPr>
        <w:t>基金财产的清算</w:t>
      </w:r>
    </w:p>
    <w:p w:rsidR="000F516E" w:rsidRPr="00286323" w:rsidRDefault="000F516E"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1</w:t>
      </w:r>
      <w:r w:rsidRPr="00286323">
        <w:rPr>
          <w:rFonts w:asciiTheme="minorEastAsia" w:eastAsiaTheme="minorEastAsia" w:hAnsiTheme="minorEastAsia" w:hint="eastAsia"/>
          <w:bCs/>
          <w:color w:val="000000" w:themeColor="text1"/>
        </w:rPr>
        <w:t>、基金财产清算小组：自出现《基金合同》终止事由之日起</w:t>
      </w:r>
      <w:r w:rsidRPr="00286323">
        <w:rPr>
          <w:rFonts w:asciiTheme="minorEastAsia" w:eastAsiaTheme="minorEastAsia" w:hAnsiTheme="minorEastAsia"/>
          <w:bCs/>
          <w:color w:val="000000" w:themeColor="text1"/>
        </w:rPr>
        <w:t>30</w:t>
      </w:r>
      <w:r w:rsidRPr="00286323">
        <w:rPr>
          <w:rFonts w:asciiTheme="minorEastAsia" w:eastAsiaTheme="minorEastAsia" w:hAnsiTheme="minorEastAsia" w:hint="eastAsia"/>
          <w:bCs/>
          <w:color w:val="000000" w:themeColor="text1"/>
        </w:rPr>
        <w:t>个工作日内成立清算小组，基金管理人组织基金财产清算小组并在中国证监会的监督下进行基金清算。</w:t>
      </w:r>
    </w:p>
    <w:p w:rsidR="000F516E" w:rsidRPr="00286323" w:rsidRDefault="000F516E"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2</w:t>
      </w:r>
      <w:r w:rsidRPr="00286323">
        <w:rPr>
          <w:rFonts w:asciiTheme="minorEastAsia" w:eastAsiaTheme="minorEastAsia" w:hAnsiTheme="minorEastAsia" w:hint="eastAsia"/>
          <w:bCs/>
          <w:color w:val="000000" w:themeColor="text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F516E" w:rsidRPr="00286323" w:rsidRDefault="000F516E"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3</w:t>
      </w:r>
      <w:r w:rsidRPr="00286323">
        <w:rPr>
          <w:rFonts w:asciiTheme="minorEastAsia" w:eastAsiaTheme="minorEastAsia" w:hAnsiTheme="minorEastAsia" w:hint="eastAsia"/>
          <w:bCs/>
          <w:color w:val="000000" w:themeColor="text1"/>
        </w:rPr>
        <w:t>、基金财产清算小组职责：基金财产清算小组负责基金财产的保管、清理、估价、变现和分配。基金财产清算小组可以依法进行必要的民事活动。</w:t>
      </w:r>
    </w:p>
    <w:p w:rsidR="000F516E" w:rsidRPr="00286323" w:rsidRDefault="000F516E"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bCs/>
          <w:color w:val="000000" w:themeColor="text1"/>
        </w:rPr>
        <w:t>4</w:t>
      </w:r>
      <w:r w:rsidRPr="00286323">
        <w:rPr>
          <w:rFonts w:asciiTheme="minorEastAsia" w:eastAsiaTheme="minorEastAsia" w:hAnsiTheme="minorEastAsia" w:hint="eastAsia"/>
          <w:bCs/>
          <w:color w:val="000000" w:themeColor="text1"/>
        </w:rPr>
        <w:t>、基金财产清算程序：</w:t>
      </w:r>
    </w:p>
    <w:p w:rsidR="000F516E" w:rsidRPr="00286323" w:rsidRDefault="000F516E"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1</w:t>
      </w:r>
      <w:r w:rsidRPr="00286323">
        <w:rPr>
          <w:rFonts w:asciiTheme="minorEastAsia" w:eastAsiaTheme="minorEastAsia" w:hAnsiTheme="minorEastAsia" w:hint="eastAsia"/>
          <w:bCs/>
          <w:color w:val="000000" w:themeColor="text1"/>
        </w:rPr>
        <w:t>）《基金合同》终止情形出现时，由基金财产清算小组统一接管基金；</w:t>
      </w:r>
    </w:p>
    <w:p w:rsidR="000F516E" w:rsidRPr="00286323" w:rsidRDefault="000F516E"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2</w:t>
      </w:r>
      <w:r w:rsidRPr="00286323">
        <w:rPr>
          <w:rFonts w:asciiTheme="minorEastAsia" w:eastAsiaTheme="minorEastAsia" w:hAnsiTheme="minorEastAsia" w:hint="eastAsia"/>
          <w:bCs/>
          <w:color w:val="000000" w:themeColor="text1"/>
        </w:rPr>
        <w:t>）对基金财产和债权债务进行清理和确认；</w:t>
      </w:r>
    </w:p>
    <w:p w:rsidR="000F516E" w:rsidRPr="00286323" w:rsidRDefault="000F516E"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3</w:t>
      </w:r>
      <w:r w:rsidRPr="00286323">
        <w:rPr>
          <w:rFonts w:asciiTheme="minorEastAsia" w:eastAsiaTheme="minorEastAsia" w:hAnsiTheme="minorEastAsia" w:hint="eastAsia"/>
          <w:bCs/>
          <w:color w:val="000000" w:themeColor="text1"/>
        </w:rPr>
        <w:t>）对基金财产进行估值和变现；</w:t>
      </w:r>
    </w:p>
    <w:p w:rsidR="000F516E" w:rsidRPr="00286323" w:rsidRDefault="000F516E"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4</w:t>
      </w:r>
      <w:r w:rsidRPr="00286323">
        <w:rPr>
          <w:rFonts w:asciiTheme="minorEastAsia" w:eastAsiaTheme="minorEastAsia" w:hAnsiTheme="minorEastAsia" w:hint="eastAsia"/>
          <w:bCs/>
          <w:color w:val="000000" w:themeColor="text1"/>
        </w:rPr>
        <w:t>）制作清算报告；</w:t>
      </w:r>
    </w:p>
    <w:p w:rsidR="000F516E" w:rsidRPr="00286323" w:rsidRDefault="000F516E"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5</w:t>
      </w:r>
      <w:r w:rsidRPr="00286323">
        <w:rPr>
          <w:rFonts w:asciiTheme="minorEastAsia" w:eastAsiaTheme="minorEastAsia" w:hAnsiTheme="minorEastAsia" w:hint="eastAsia"/>
          <w:bCs/>
          <w:color w:val="000000" w:themeColor="text1"/>
        </w:rPr>
        <w:t>）聘请会计师事务所对清算报告进行外部审计，聘请律师事务所对清算报告出具法律意见书；</w:t>
      </w:r>
    </w:p>
    <w:p w:rsidR="000F516E" w:rsidRPr="00286323" w:rsidRDefault="000F516E"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6</w:t>
      </w:r>
      <w:r w:rsidRPr="00286323">
        <w:rPr>
          <w:rFonts w:asciiTheme="minorEastAsia" w:eastAsiaTheme="minorEastAsia" w:hAnsiTheme="minorEastAsia" w:hint="eastAsia"/>
          <w:bCs/>
          <w:color w:val="000000" w:themeColor="text1"/>
        </w:rPr>
        <w:t>）将清算报告报中国证监会备案并公告；</w:t>
      </w:r>
    </w:p>
    <w:p w:rsidR="000F516E" w:rsidRPr="00286323" w:rsidRDefault="000F516E"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7</w:t>
      </w:r>
      <w:r w:rsidRPr="00286323">
        <w:rPr>
          <w:rFonts w:asciiTheme="minorEastAsia" w:eastAsiaTheme="minorEastAsia" w:hAnsiTheme="minorEastAsia" w:hint="eastAsia"/>
          <w:bCs/>
          <w:color w:val="000000" w:themeColor="text1"/>
        </w:rPr>
        <w:t>）对基金财产进行分配。</w:t>
      </w:r>
    </w:p>
    <w:p w:rsidR="000F516E" w:rsidRPr="00286323" w:rsidRDefault="000F516E" w:rsidP="00F71D3B">
      <w:pPr>
        <w:snapToGrid w:val="0"/>
        <w:spacing w:line="360" w:lineRule="auto"/>
        <w:ind w:firstLineChars="200" w:firstLine="420"/>
        <w:rPr>
          <w:rFonts w:asciiTheme="minorEastAsia" w:eastAsiaTheme="minorEastAsia" w:hAnsiTheme="minorEastAsia"/>
          <w:bCs/>
          <w:color w:val="000000" w:themeColor="text1"/>
          <w:sz w:val="24"/>
        </w:rPr>
      </w:pPr>
      <w:r w:rsidRPr="00286323">
        <w:rPr>
          <w:rFonts w:asciiTheme="minorEastAsia" w:eastAsiaTheme="minorEastAsia" w:hAnsiTheme="minorEastAsia"/>
          <w:bCs/>
          <w:color w:val="000000" w:themeColor="text1"/>
        </w:rPr>
        <w:lastRenderedPageBreak/>
        <w:t>5</w:t>
      </w:r>
      <w:r w:rsidRPr="00286323">
        <w:rPr>
          <w:rFonts w:asciiTheme="minorEastAsia" w:eastAsiaTheme="minorEastAsia" w:hAnsiTheme="minorEastAsia" w:hint="eastAsia"/>
          <w:bCs/>
          <w:color w:val="000000" w:themeColor="text1"/>
        </w:rPr>
        <w:t>、基金财产清算的期限为</w:t>
      </w:r>
      <w:r w:rsidRPr="00286323">
        <w:rPr>
          <w:rFonts w:asciiTheme="minorEastAsia" w:eastAsiaTheme="minorEastAsia" w:hAnsiTheme="minorEastAsia"/>
          <w:bCs/>
          <w:color w:val="000000" w:themeColor="text1"/>
        </w:rPr>
        <w:t>6</w:t>
      </w:r>
      <w:r w:rsidRPr="00286323">
        <w:rPr>
          <w:rFonts w:asciiTheme="minorEastAsia" w:eastAsiaTheme="minorEastAsia" w:hAnsiTheme="minorEastAsia" w:hint="eastAsia"/>
          <w:bCs/>
          <w:color w:val="000000" w:themeColor="text1"/>
        </w:rPr>
        <w:t>个月。</w:t>
      </w:r>
    </w:p>
    <w:p w:rsidR="001A7CDB" w:rsidRPr="00286323" w:rsidRDefault="001A7CDB" w:rsidP="005F0E3E">
      <w:pPr>
        <w:pStyle w:val="20"/>
        <w:numPr>
          <w:ilvl w:val="1"/>
          <w:numId w:val="9"/>
        </w:numPr>
        <w:snapToGrid w:val="0"/>
        <w:spacing w:beforeLines="0" w:afterLines="0" w:line="360" w:lineRule="auto"/>
        <w:ind w:leftChars="-67" w:left="-1" w:hangingChars="50" w:hanging="140"/>
        <w:rPr>
          <w:rFonts w:asciiTheme="minorEastAsia" w:eastAsiaTheme="minorEastAsia" w:hAnsiTheme="minorEastAsia" w:cs="Arial"/>
          <w:b w:val="0"/>
          <w:color w:val="000000" w:themeColor="text1"/>
        </w:rPr>
      </w:pPr>
      <w:r w:rsidRPr="00286323">
        <w:rPr>
          <w:rFonts w:asciiTheme="minorEastAsia" w:eastAsiaTheme="minorEastAsia" w:hAnsiTheme="minorEastAsia" w:cs="Arial"/>
          <w:b w:val="0"/>
          <w:color w:val="000000" w:themeColor="text1"/>
        </w:rPr>
        <w:t>清算费用</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清算费用是指基金财产清算小组在进行基金清算过程中发生的所有合理费用，清算费用由基金财产清算小组优先从基金财产中支付。</w:t>
      </w:r>
    </w:p>
    <w:p w:rsidR="001A7CDB" w:rsidRPr="00286323" w:rsidRDefault="000F516E" w:rsidP="005F0E3E">
      <w:pPr>
        <w:pStyle w:val="20"/>
        <w:numPr>
          <w:ilvl w:val="1"/>
          <w:numId w:val="9"/>
        </w:numPr>
        <w:snapToGrid w:val="0"/>
        <w:spacing w:beforeLines="0" w:afterLines="0" w:line="360" w:lineRule="auto"/>
        <w:ind w:leftChars="-67" w:left="-1" w:hangingChars="50" w:hanging="140"/>
        <w:rPr>
          <w:rFonts w:asciiTheme="minorEastAsia" w:eastAsiaTheme="minorEastAsia" w:hAnsiTheme="minorEastAsia" w:cs="Arial"/>
          <w:b w:val="0"/>
          <w:color w:val="000000" w:themeColor="text1"/>
        </w:rPr>
      </w:pPr>
      <w:r w:rsidRPr="00286323">
        <w:rPr>
          <w:rFonts w:asciiTheme="minorEastAsia" w:eastAsiaTheme="minorEastAsia" w:hAnsiTheme="minorEastAsia" w:cs="Arial" w:hint="eastAsia"/>
          <w:b w:val="0"/>
          <w:color w:val="000000" w:themeColor="text1"/>
        </w:rPr>
        <w:t>基金财产清算剩余资产的分配</w:t>
      </w:r>
    </w:p>
    <w:p w:rsidR="001A7CDB" w:rsidRPr="00286323" w:rsidRDefault="000F516E"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依据基金财产清算的分配方案，将基金财产清算后的全部剩余资产扣除基金财产清算费用、交纳所欠税款并清偿基金债务后，按基金份额持有人持有的基金份额比例进行分配。</w:t>
      </w:r>
    </w:p>
    <w:p w:rsidR="001A7CDB" w:rsidRPr="00286323" w:rsidRDefault="001A7CDB" w:rsidP="005F0E3E">
      <w:pPr>
        <w:pStyle w:val="20"/>
        <w:numPr>
          <w:ilvl w:val="1"/>
          <w:numId w:val="9"/>
        </w:numPr>
        <w:snapToGrid w:val="0"/>
        <w:spacing w:beforeLines="0" w:afterLines="0" w:line="360" w:lineRule="auto"/>
        <w:ind w:leftChars="-67" w:left="-1" w:hangingChars="50" w:hanging="140"/>
        <w:rPr>
          <w:rFonts w:asciiTheme="minorEastAsia" w:eastAsiaTheme="minorEastAsia" w:hAnsiTheme="minorEastAsia" w:cs="Arial"/>
          <w:b w:val="0"/>
          <w:color w:val="000000" w:themeColor="text1"/>
        </w:rPr>
      </w:pPr>
      <w:r w:rsidRPr="00286323">
        <w:rPr>
          <w:rFonts w:asciiTheme="minorEastAsia" w:eastAsiaTheme="minorEastAsia" w:hAnsiTheme="minorEastAsia" w:cs="Arial"/>
          <w:b w:val="0"/>
          <w:color w:val="000000" w:themeColor="text1"/>
        </w:rPr>
        <w:t>基金财产清算的公告</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D354A9" w:rsidRPr="00286323" w:rsidRDefault="00D354A9" w:rsidP="005F0E3E">
      <w:pPr>
        <w:pStyle w:val="20"/>
        <w:numPr>
          <w:ilvl w:val="1"/>
          <w:numId w:val="9"/>
        </w:numPr>
        <w:snapToGrid w:val="0"/>
        <w:spacing w:beforeLines="0" w:afterLines="0" w:line="360" w:lineRule="auto"/>
        <w:ind w:leftChars="-67" w:left="-1" w:hangingChars="50" w:hanging="140"/>
        <w:rPr>
          <w:rFonts w:asciiTheme="minorEastAsia" w:eastAsiaTheme="minorEastAsia" w:hAnsiTheme="minorEastAsia" w:cs="Arial"/>
          <w:b w:val="0"/>
          <w:color w:val="000000" w:themeColor="text1"/>
        </w:rPr>
      </w:pPr>
      <w:r w:rsidRPr="00286323">
        <w:rPr>
          <w:rFonts w:asciiTheme="minorEastAsia" w:eastAsiaTheme="minorEastAsia" w:hAnsiTheme="minorEastAsia" w:cs="Arial" w:hint="eastAsia"/>
          <w:b w:val="0"/>
          <w:color w:val="000000" w:themeColor="text1"/>
        </w:rPr>
        <w:t>基金财产清算账册及文件的保存</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基金财产清算账册及</w:t>
      </w:r>
      <w:r w:rsidR="00D354A9" w:rsidRPr="00286323">
        <w:rPr>
          <w:rFonts w:asciiTheme="minorEastAsia" w:eastAsiaTheme="minorEastAsia" w:hAnsiTheme="minorEastAsia" w:cs="Arial" w:hint="eastAsia"/>
          <w:color w:val="000000" w:themeColor="text1"/>
        </w:rPr>
        <w:t>有关</w:t>
      </w:r>
      <w:r w:rsidRPr="00286323">
        <w:rPr>
          <w:rFonts w:asciiTheme="minorEastAsia" w:eastAsiaTheme="minorEastAsia" w:hAnsiTheme="minorEastAsia" w:cs="Arial"/>
          <w:color w:val="000000" w:themeColor="text1"/>
        </w:rPr>
        <w:t>文件由基金托管人保存15年以上。</w:t>
      </w:r>
    </w:p>
    <w:p w:rsidR="00A459CE" w:rsidRPr="00286323" w:rsidRDefault="001A7CDB" w:rsidP="00F71D3B">
      <w:pPr>
        <w:pStyle w:val="11"/>
        <w:numPr>
          <w:ilvl w:val="0"/>
          <w:numId w:val="9"/>
        </w:numPr>
        <w:snapToGrid w:val="0"/>
        <w:spacing w:beforeLines="0" w:afterLines="0" w:line="360" w:lineRule="auto"/>
        <w:ind w:firstLineChars="0"/>
        <w:rPr>
          <w:rFonts w:asciiTheme="minorEastAsia" w:eastAsiaTheme="minorEastAsia" w:hAnsiTheme="minorEastAsia" w:cs="Arial"/>
          <w:color w:val="000000" w:themeColor="text1"/>
          <w:sz w:val="21"/>
          <w:szCs w:val="21"/>
        </w:rPr>
      </w:pPr>
      <w:bookmarkStart w:id="134" w:name="_Toc200522988"/>
      <w:bookmarkStart w:id="135" w:name="_Toc81922655"/>
      <w:bookmarkEnd w:id="132"/>
      <w:bookmarkEnd w:id="133"/>
      <w:r w:rsidRPr="00286323">
        <w:rPr>
          <w:rFonts w:asciiTheme="minorEastAsia" w:eastAsiaTheme="minorEastAsia" w:hAnsiTheme="minorEastAsia" w:cs="Arial"/>
          <w:bCs/>
          <w:color w:val="000000" w:themeColor="text1"/>
        </w:rPr>
        <w:lastRenderedPageBreak/>
        <w:t>基金合同</w:t>
      </w:r>
      <w:r w:rsidRPr="00286323">
        <w:rPr>
          <w:rFonts w:asciiTheme="minorEastAsia" w:eastAsiaTheme="minorEastAsia" w:hAnsiTheme="minorEastAsia" w:cs="Arial" w:hint="eastAsia"/>
          <w:bCs/>
          <w:color w:val="000000" w:themeColor="text1"/>
        </w:rPr>
        <w:t>的</w:t>
      </w:r>
      <w:r w:rsidRPr="00286323">
        <w:rPr>
          <w:rFonts w:asciiTheme="minorEastAsia" w:eastAsiaTheme="minorEastAsia" w:hAnsiTheme="minorEastAsia" w:cs="Arial"/>
          <w:bCs/>
          <w:color w:val="000000" w:themeColor="text1"/>
        </w:rPr>
        <w:t>内容摘要</w:t>
      </w:r>
      <w:bookmarkEnd w:id="134"/>
      <w:bookmarkEnd w:id="135"/>
    </w:p>
    <w:p w:rsidR="00A64800" w:rsidRPr="00286323" w:rsidRDefault="00A64800" w:rsidP="005F0E3E">
      <w:pPr>
        <w:pStyle w:val="20"/>
        <w:numPr>
          <w:ilvl w:val="1"/>
          <w:numId w:val="9"/>
        </w:numPr>
        <w:snapToGrid w:val="0"/>
        <w:spacing w:beforeLines="0" w:afterLines="0" w:line="360" w:lineRule="auto"/>
        <w:ind w:leftChars="-67" w:left="-1" w:hangingChars="50" w:hanging="140"/>
        <w:rPr>
          <w:rFonts w:asciiTheme="minorEastAsia" w:eastAsiaTheme="minorEastAsia" w:hAnsiTheme="minorEastAsia" w:cs="Arial"/>
          <w:b w:val="0"/>
          <w:color w:val="000000" w:themeColor="text1"/>
        </w:rPr>
      </w:pPr>
      <w:bookmarkStart w:id="136" w:name="_Toc38437218"/>
      <w:bookmarkStart w:id="137" w:name="_Toc38437354"/>
      <w:bookmarkStart w:id="138" w:name="_Toc38437490"/>
      <w:bookmarkStart w:id="139" w:name="_Toc38437626"/>
      <w:bookmarkStart w:id="140" w:name="_Toc38437772"/>
      <w:bookmarkStart w:id="141" w:name="_Toc38437918"/>
      <w:bookmarkStart w:id="142" w:name="_Toc38438064"/>
      <w:bookmarkStart w:id="143" w:name="_Toc38438210"/>
      <w:bookmarkStart w:id="144" w:name="_Toc38438547"/>
      <w:bookmarkStart w:id="145" w:name="_Toc38438884"/>
      <w:bookmarkStart w:id="146" w:name="_Toc38439221"/>
      <w:bookmarkStart w:id="147" w:name="_Toc38439558"/>
      <w:bookmarkStart w:id="148" w:name="_Toc38439895"/>
      <w:bookmarkStart w:id="149" w:name="_Toc38440232"/>
      <w:bookmarkStart w:id="150" w:name="_Toc38440569"/>
      <w:bookmarkStart w:id="151" w:name="_Toc38440768"/>
      <w:bookmarkStart w:id="152" w:name="_Toc38441101"/>
      <w:bookmarkStart w:id="153" w:name="_Toc38441433"/>
      <w:bookmarkStart w:id="154" w:name="_Toc38441765"/>
      <w:bookmarkStart w:id="155" w:name="_Toc38442093"/>
      <w:bookmarkStart w:id="156" w:name="_Toc38442425"/>
      <w:bookmarkStart w:id="157" w:name="_Toc38442757"/>
      <w:bookmarkStart w:id="158" w:name="_Toc38443088"/>
      <w:bookmarkStart w:id="159" w:name="_Toc38443419"/>
      <w:bookmarkStart w:id="160" w:name="_Toc38443750"/>
      <w:bookmarkStart w:id="161" w:name="_Toc38433500"/>
      <w:bookmarkStart w:id="162" w:name="_Toc38433635"/>
      <w:bookmarkStart w:id="163" w:name="_Toc38433769"/>
      <w:bookmarkStart w:id="164" w:name="_Toc38433919"/>
      <w:bookmarkStart w:id="165" w:name="_Toc38434067"/>
      <w:bookmarkStart w:id="166" w:name="_Toc38434215"/>
      <w:bookmarkStart w:id="167" w:name="_Toc38434361"/>
      <w:bookmarkStart w:id="168" w:name="_Toc38434504"/>
      <w:bookmarkStart w:id="169" w:name="_Toc38434647"/>
      <w:bookmarkStart w:id="170" w:name="_Toc38434790"/>
      <w:bookmarkStart w:id="171" w:name="_Toc38434934"/>
      <w:bookmarkStart w:id="172" w:name="_Toc38437630"/>
      <w:bookmarkStart w:id="173" w:name="_Toc38437776"/>
      <w:bookmarkStart w:id="174" w:name="_Toc38437922"/>
      <w:bookmarkStart w:id="175" w:name="_Toc38438068"/>
      <w:bookmarkStart w:id="176" w:name="_Toc38438214"/>
      <w:bookmarkStart w:id="177" w:name="_Toc38438551"/>
      <w:bookmarkStart w:id="178" w:name="_Toc38438888"/>
      <w:bookmarkStart w:id="179" w:name="_Toc38439225"/>
      <w:bookmarkStart w:id="180" w:name="_Toc38439562"/>
      <w:bookmarkStart w:id="181" w:name="_Toc38439899"/>
      <w:bookmarkStart w:id="182" w:name="_Toc38440236"/>
      <w:bookmarkStart w:id="183" w:name="_Toc38440573"/>
      <w:bookmarkStart w:id="184" w:name="_Toc38440772"/>
      <w:bookmarkStart w:id="185" w:name="_Toc38441105"/>
      <w:bookmarkStart w:id="186" w:name="_Toc38441437"/>
      <w:bookmarkStart w:id="187" w:name="_Toc38441769"/>
      <w:bookmarkStart w:id="188" w:name="_Toc38442097"/>
      <w:bookmarkStart w:id="189" w:name="_Toc38442429"/>
      <w:bookmarkStart w:id="190" w:name="_Toc38442761"/>
      <w:bookmarkStart w:id="191" w:name="_Toc38443092"/>
      <w:bookmarkStart w:id="192" w:name="_Toc38443423"/>
      <w:bookmarkStart w:id="193" w:name="_Toc38443754"/>
      <w:bookmarkStart w:id="194" w:name="_Toc38433501"/>
      <w:bookmarkStart w:id="195" w:name="_Toc38433636"/>
      <w:bookmarkStart w:id="196" w:name="_Toc38433770"/>
      <w:bookmarkStart w:id="197" w:name="_Toc38433920"/>
      <w:bookmarkStart w:id="198" w:name="_Toc38434068"/>
      <w:bookmarkStart w:id="199" w:name="_Toc38434216"/>
      <w:bookmarkStart w:id="200" w:name="_Toc38434362"/>
      <w:bookmarkStart w:id="201" w:name="_Toc38434505"/>
      <w:bookmarkStart w:id="202" w:name="_Toc38434648"/>
      <w:bookmarkStart w:id="203" w:name="_Toc38434791"/>
      <w:bookmarkStart w:id="204" w:name="_Toc38434935"/>
      <w:bookmarkStart w:id="205" w:name="_Toc38437631"/>
      <w:bookmarkStart w:id="206" w:name="_Toc38437777"/>
      <w:bookmarkStart w:id="207" w:name="_Toc38437923"/>
      <w:bookmarkStart w:id="208" w:name="_Toc38438069"/>
      <w:bookmarkStart w:id="209" w:name="_Toc38438215"/>
      <w:bookmarkStart w:id="210" w:name="_Toc38438552"/>
      <w:bookmarkStart w:id="211" w:name="_Toc38438889"/>
      <w:bookmarkStart w:id="212" w:name="_Toc38439226"/>
      <w:bookmarkStart w:id="213" w:name="_Toc38439563"/>
      <w:bookmarkStart w:id="214" w:name="_Toc38439900"/>
      <w:bookmarkStart w:id="215" w:name="_Toc38440237"/>
      <w:bookmarkStart w:id="216" w:name="_Toc38440574"/>
      <w:bookmarkStart w:id="217" w:name="_Toc38440773"/>
      <w:bookmarkStart w:id="218" w:name="_Toc38441106"/>
      <w:bookmarkStart w:id="219" w:name="_Toc38441438"/>
      <w:bookmarkStart w:id="220" w:name="_Toc38441770"/>
      <w:bookmarkStart w:id="221" w:name="_Toc38442098"/>
      <w:bookmarkStart w:id="222" w:name="_Toc38442430"/>
      <w:bookmarkStart w:id="223" w:name="_Toc38442762"/>
      <w:bookmarkStart w:id="224" w:name="_Toc38443093"/>
      <w:bookmarkStart w:id="225" w:name="_Toc38443424"/>
      <w:bookmarkStart w:id="226" w:name="_Toc38443755"/>
      <w:bookmarkStart w:id="227" w:name="_Toc38433502"/>
      <w:bookmarkStart w:id="228" w:name="_Toc38433637"/>
      <w:bookmarkStart w:id="229" w:name="_Toc38433771"/>
      <w:bookmarkStart w:id="230" w:name="_Toc38433921"/>
      <w:bookmarkStart w:id="231" w:name="_Toc38434069"/>
      <w:bookmarkStart w:id="232" w:name="_Toc38434217"/>
      <w:bookmarkStart w:id="233" w:name="_Toc38434363"/>
      <w:bookmarkStart w:id="234" w:name="_Toc38434506"/>
      <w:bookmarkStart w:id="235" w:name="_Toc38434649"/>
      <w:bookmarkStart w:id="236" w:name="_Toc38434792"/>
      <w:bookmarkStart w:id="237" w:name="_Toc38434936"/>
      <w:bookmarkStart w:id="238" w:name="_Toc38437632"/>
      <w:bookmarkStart w:id="239" w:name="_Toc38437778"/>
      <w:bookmarkStart w:id="240" w:name="_Toc38437924"/>
      <w:bookmarkStart w:id="241" w:name="_Toc38438070"/>
      <w:bookmarkStart w:id="242" w:name="_Toc38438216"/>
      <w:bookmarkStart w:id="243" w:name="_Toc38438553"/>
      <w:bookmarkStart w:id="244" w:name="_Toc38438890"/>
      <w:bookmarkStart w:id="245" w:name="_Toc38439227"/>
      <w:bookmarkStart w:id="246" w:name="_Toc38439564"/>
      <w:bookmarkStart w:id="247" w:name="_Toc38439901"/>
      <w:bookmarkStart w:id="248" w:name="_Toc38440238"/>
      <w:bookmarkStart w:id="249" w:name="_Toc38440575"/>
      <w:bookmarkStart w:id="250" w:name="_Toc38440774"/>
      <w:bookmarkStart w:id="251" w:name="_Toc38441107"/>
      <w:bookmarkStart w:id="252" w:name="_Toc38441439"/>
      <w:bookmarkStart w:id="253" w:name="_Toc38441771"/>
      <w:bookmarkStart w:id="254" w:name="_Toc38442099"/>
      <w:bookmarkStart w:id="255" w:name="_Toc38442431"/>
      <w:bookmarkStart w:id="256" w:name="_Toc38442763"/>
      <w:bookmarkStart w:id="257" w:name="_Toc38443094"/>
      <w:bookmarkStart w:id="258" w:name="_Toc38443425"/>
      <w:bookmarkStart w:id="259" w:name="_Toc38443756"/>
      <w:bookmarkStart w:id="260" w:name="_Toc38433503"/>
      <w:bookmarkStart w:id="261" w:name="_Toc38433638"/>
      <w:bookmarkStart w:id="262" w:name="_Toc38433772"/>
      <w:bookmarkStart w:id="263" w:name="_Toc38433922"/>
      <w:bookmarkStart w:id="264" w:name="_Toc38434070"/>
      <w:bookmarkStart w:id="265" w:name="_Toc38434218"/>
      <w:bookmarkStart w:id="266" w:name="_Toc38434364"/>
      <w:bookmarkStart w:id="267" w:name="_Toc38434507"/>
      <w:bookmarkStart w:id="268" w:name="_Toc38434650"/>
      <w:bookmarkStart w:id="269" w:name="_Toc38434793"/>
      <w:bookmarkStart w:id="270" w:name="_Toc38434937"/>
      <w:bookmarkStart w:id="271" w:name="_Toc38437633"/>
      <w:bookmarkStart w:id="272" w:name="_Toc38437779"/>
      <w:bookmarkStart w:id="273" w:name="_Toc38437925"/>
      <w:bookmarkStart w:id="274" w:name="_Toc38438071"/>
      <w:bookmarkStart w:id="275" w:name="_Toc38438217"/>
      <w:bookmarkStart w:id="276" w:name="_Toc38438554"/>
      <w:bookmarkStart w:id="277" w:name="_Toc38438891"/>
      <w:bookmarkStart w:id="278" w:name="_Toc38439228"/>
      <w:bookmarkStart w:id="279" w:name="_Toc38439565"/>
      <w:bookmarkStart w:id="280" w:name="_Toc38439902"/>
      <w:bookmarkStart w:id="281" w:name="_Toc38440239"/>
      <w:bookmarkStart w:id="282" w:name="_Toc38440576"/>
      <w:bookmarkStart w:id="283" w:name="_Toc38440775"/>
      <w:bookmarkStart w:id="284" w:name="_Toc38441108"/>
      <w:bookmarkStart w:id="285" w:name="_Toc38441440"/>
      <w:bookmarkStart w:id="286" w:name="_Toc38441772"/>
      <w:bookmarkStart w:id="287" w:name="_Toc38442100"/>
      <w:bookmarkStart w:id="288" w:name="_Toc38442432"/>
      <w:bookmarkStart w:id="289" w:name="_Toc38442764"/>
      <w:bookmarkStart w:id="290" w:name="_Toc38443095"/>
      <w:bookmarkStart w:id="291" w:name="_Toc38443426"/>
      <w:bookmarkStart w:id="292" w:name="_Toc38443757"/>
      <w:bookmarkStart w:id="293" w:name="_Toc38433504"/>
      <w:bookmarkStart w:id="294" w:name="_Toc38433639"/>
      <w:bookmarkStart w:id="295" w:name="_Toc38433773"/>
      <w:bookmarkStart w:id="296" w:name="_Toc38433923"/>
      <w:bookmarkStart w:id="297" w:name="_Toc38434071"/>
      <w:bookmarkStart w:id="298" w:name="_Toc38434219"/>
      <w:bookmarkStart w:id="299" w:name="_Toc38434365"/>
      <w:bookmarkStart w:id="300" w:name="_Toc38434508"/>
      <w:bookmarkStart w:id="301" w:name="_Toc38434651"/>
      <w:bookmarkStart w:id="302" w:name="_Toc38434794"/>
      <w:bookmarkStart w:id="303" w:name="_Toc38434938"/>
      <w:bookmarkStart w:id="304" w:name="_Toc38437634"/>
      <w:bookmarkStart w:id="305" w:name="_Toc38437780"/>
      <w:bookmarkStart w:id="306" w:name="_Toc38437926"/>
      <w:bookmarkStart w:id="307" w:name="_Toc38438072"/>
      <w:bookmarkStart w:id="308" w:name="_Toc38438218"/>
      <w:bookmarkStart w:id="309" w:name="_Toc38438555"/>
      <w:bookmarkStart w:id="310" w:name="_Toc38438892"/>
      <w:bookmarkStart w:id="311" w:name="_Toc38439229"/>
      <w:bookmarkStart w:id="312" w:name="_Toc38439566"/>
      <w:bookmarkStart w:id="313" w:name="_Toc38439903"/>
      <w:bookmarkStart w:id="314" w:name="_Toc38440240"/>
      <w:bookmarkStart w:id="315" w:name="_Toc38440577"/>
      <w:bookmarkStart w:id="316" w:name="_Toc38440776"/>
      <w:bookmarkStart w:id="317" w:name="_Toc38441109"/>
      <w:bookmarkStart w:id="318" w:name="_Toc38441441"/>
      <w:bookmarkStart w:id="319" w:name="_Toc38441773"/>
      <w:bookmarkStart w:id="320" w:name="_Toc38442101"/>
      <w:bookmarkStart w:id="321" w:name="_Toc38442433"/>
      <w:bookmarkStart w:id="322" w:name="_Toc38442765"/>
      <w:bookmarkStart w:id="323" w:name="_Toc38443096"/>
      <w:bookmarkStart w:id="324" w:name="_Toc38443427"/>
      <w:bookmarkStart w:id="325" w:name="_Toc38443758"/>
      <w:bookmarkStart w:id="326" w:name="_Toc38433505"/>
      <w:bookmarkStart w:id="327" w:name="_Toc38433640"/>
      <w:bookmarkStart w:id="328" w:name="_Toc38433774"/>
      <w:bookmarkStart w:id="329" w:name="_Toc38433924"/>
      <w:bookmarkStart w:id="330" w:name="_Toc38434072"/>
      <w:bookmarkStart w:id="331" w:name="_Toc38434220"/>
      <w:bookmarkStart w:id="332" w:name="_Toc38434366"/>
      <w:bookmarkStart w:id="333" w:name="_Toc38434509"/>
      <w:bookmarkStart w:id="334" w:name="_Toc38434652"/>
      <w:bookmarkStart w:id="335" w:name="_Toc38434795"/>
      <w:bookmarkStart w:id="336" w:name="_Toc38434939"/>
      <w:bookmarkStart w:id="337" w:name="_Toc38437635"/>
      <w:bookmarkStart w:id="338" w:name="_Toc38437781"/>
      <w:bookmarkStart w:id="339" w:name="_Toc38437927"/>
      <w:bookmarkStart w:id="340" w:name="_Toc38438073"/>
      <w:bookmarkStart w:id="341" w:name="_Toc38438219"/>
      <w:bookmarkStart w:id="342" w:name="_Toc38438556"/>
      <w:bookmarkStart w:id="343" w:name="_Toc38438893"/>
      <w:bookmarkStart w:id="344" w:name="_Toc38439230"/>
      <w:bookmarkStart w:id="345" w:name="_Toc38439567"/>
      <w:bookmarkStart w:id="346" w:name="_Toc38439904"/>
      <w:bookmarkStart w:id="347" w:name="_Toc38440241"/>
      <w:bookmarkStart w:id="348" w:name="_Toc38440578"/>
      <w:bookmarkStart w:id="349" w:name="_Toc38440777"/>
      <w:bookmarkStart w:id="350" w:name="_Toc38441110"/>
      <w:bookmarkStart w:id="351" w:name="_Toc38441442"/>
      <w:bookmarkStart w:id="352" w:name="_Toc38441774"/>
      <w:bookmarkStart w:id="353" w:name="_Toc38442102"/>
      <w:bookmarkStart w:id="354" w:name="_Toc38442434"/>
      <w:bookmarkStart w:id="355" w:name="_Toc38442766"/>
      <w:bookmarkStart w:id="356" w:name="_Toc38443097"/>
      <w:bookmarkStart w:id="357" w:name="_Toc38443428"/>
      <w:bookmarkStart w:id="358" w:name="_Toc38443759"/>
      <w:bookmarkStart w:id="359" w:name="_Toc38433506"/>
      <w:bookmarkStart w:id="360" w:name="_Toc38433641"/>
      <w:bookmarkStart w:id="361" w:name="_Toc38433775"/>
      <w:bookmarkStart w:id="362" w:name="_Toc38433925"/>
      <w:bookmarkStart w:id="363" w:name="_Toc38434073"/>
      <w:bookmarkStart w:id="364" w:name="_Toc38434221"/>
      <w:bookmarkStart w:id="365" w:name="_Toc38434367"/>
      <w:bookmarkStart w:id="366" w:name="_Toc38434510"/>
      <w:bookmarkStart w:id="367" w:name="_Toc38434653"/>
      <w:bookmarkStart w:id="368" w:name="_Toc38434796"/>
      <w:bookmarkStart w:id="369" w:name="_Toc38434940"/>
      <w:bookmarkStart w:id="370" w:name="_Toc38437636"/>
      <w:bookmarkStart w:id="371" w:name="_Toc38437782"/>
      <w:bookmarkStart w:id="372" w:name="_Toc38437928"/>
      <w:bookmarkStart w:id="373" w:name="_Toc38438074"/>
      <w:bookmarkStart w:id="374" w:name="_Toc38438220"/>
      <w:bookmarkStart w:id="375" w:name="_Toc38438557"/>
      <w:bookmarkStart w:id="376" w:name="_Toc38438894"/>
      <w:bookmarkStart w:id="377" w:name="_Toc38439231"/>
      <w:bookmarkStart w:id="378" w:name="_Toc38439568"/>
      <w:bookmarkStart w:id="379" w:name="_Toc38439905"/>
      <w:bookmarkStart w:id="380" w:name="_Toc38440242"/>
      <w:bookmarkStart w:id="381" w:name="_Toc38440579"/>
      <w:bookmarkStart w:id="382" w:name="_Toc38440778"/>
      <w:bookmarkStart w:id="383" w:name="_Toc38441111"/>
      <w:bookmarkStart w:id="384" w:name="_Toc38441443"/>
      <w:bookmarkStart w:id="385" w:name="_Toc38441775"/>
      <w:bookmarkStart w:id="386" w:name="_Toc38442103"/>
      <w:bookmarkStart w:id="387" w:name="_Toc38442435"/>
      <w:bookmarkStart w:id="388" w:name="_Toc38442767"/>
      <w:bookmarkStart w:id="389" w:name="_Toc38443098"/>
      <w:bookmarkStart w:id="390" w:name="_Toc38443429"/>
      <w:bookmarkStart w:id="391" w:name="_Toc38443760"/>
      <w:bookmarkStart w:id="392" w:name="_Toc38433507"/>
      <w:bookmarkStart w:id="393" w:name="_Toc38433642"/>
      <w:bookmarkStart w:id="394" w:name="_Toc38433776"/>
      <w:bookmarkStart w:id="395" w:name="_Toc38433926"/>
      <w:bookmarkStart w:id="396" w:name="_Toc38434074"/>
      <w:bookmarkStart w:id="397" w:name="_Toc38434222"/>
      <w:bookmarkStart w:id="398" w:name="_Toc38434368"/>
      <w:bookmarkStart w:id="399" w:name="_Toc38434511"/>
      <w:bookmarkStart w:id="400" w:name="_Toc38434654"/>
      <w:bookmarkStart w:id="401" w:name="_Toc38434797"/>
      <w:bookmarkStart w:id="402" w:name="_Toc38434941"/>
      <w:bookmarkStart w:id="403" w:name="_Toc38437637"/>
      <w:bookmarkStart w:id="404" w:name="_Toc38437783"/>
      <w:bookmarkStart w:id="405" w:name="_Toc38437929"/>
      <w:bookmarkStart w:id="406" w:name="_Toc38438075"/>
      <w:bookmarkStart w:id="407" w:name="_Toc38438221"/>
      <w:bookmarkStart w:id="408" w:name="_Toc38438558"/>
      <w:bookmarkStart w:id="409" w:name="_Toc38438895"/>
      <w:bookmarkStart w:id="410" w:name="_Toc38439232"/>
      <w:bookmarkStart w:id="411" w:name="_Toc38439569"/>
      <w:bookmarkStart w:id="412" w:name="_Toc38439906"/>
      <w:bookmarkStart w:id="413" w:name="_Toc38440243"/>
      <w:bookmarkStart w:id="414" w:name="_Toc38440580"/>
      <w:bookmarkStart w:id="415" w:name="_Toc38440779"/>
      <w:bookmarkStart w:id="416" w:name="_Toc38441112"/>
      <w:bookmarkStart w:id="417" w:name="_Toc38441444"/>
      <w:bookmarkStart w:id="418" w:name="_Toc38441776"/>
      <w:bookmarkStart w:id="419" w:name="_Toc38442104"/>
      <w:bookmarkStart w:id="420" w:name="_Toc38442436"/>
      <w:bookmarkStart w:id="421" w:name="_Toc38442768"/>
      <w:bookmarkStart w:id="422" w:name="_Toc38443099"/>
      <w:bookmarkStart w:id="423" w:name="_Toc38443430"/>
      <w:bookmarkStart w:id="424" w:name="_Toc38443761"/>
      <w:bookmarkStart w:id="425" w:name="_Toc38433508"/>
      <w:bookmarkStart w:id="426" w:name="_Toc38433643"/>
      <w:bookmarkStart w:id="427" w:name="_Toc38433777"/>
      <w:bookmarkStart w:id="428" w:name="_Toc38433927"/>
      <w:bookmarkStart w:id="429" w:name="_Toc38434075"/>
      <w:bookmarkStart w:id="430" w:name="_Toc38434223"/>
      <w:bookmarkStart w:id="431" w:name="_Toc38434369"/>
      <w:bookmarkStart w:id="432" w:name="_Toc38434512"/>
      <w:bookmarkStart w:id="433" w:name="_Toc38434655"/>
      <w:bookmarkStart w:id="434" w:name="_Toc38434798"/>
      <w:bookmarkStart w:id="435" w:name="_Toc38434942"/>
      <w:bookmarkStart w:id="436" w:name="_Toc38437638"/>
      <w:bookmarkStart w:id="437" w:name="_Toc38437784"/>
      <w:bookmarkStart w:id="438" w:name="_Toc38437930"/>
      <w:bookmarkStart w:id="439" w:name="_Toc38438076"/>
      <w:bookmarkStart w:id="440" w:name="_Toc38438222"/>
      <w:bookmarkStart w:id="441" w:name="_Toc38438559"/>
      <w:bookmarkStart w:id="442" w:name="_Toc38438896"/>
      <w:bookmarkStart w:id="443" w:name="_Toc38439233"/>
      <w:bookmarkStart w:id="444" w:name="_Toc38439570"/>
      <w:bookmarkStart w:id="445" w:name="_Toc38439907"/>
      <w:bookmarkStart w:id="446" w:name="_Toc38440244"/>
      <w:bookmarkStart w:id="447" w:name="_Toc38440581"/>
      <w:bookmarkStart w:id="448" w:name="_Toc38440780"/>
      <w:bookmarkStart w:id="449" w:name="_Toc38441113"/>
      <w:bookmarkStart w:id="450" w:name="_Toc38441445"/>
      <w:bookmarkStart w:id="451" w:name="_Toc38441777"/>
      <w:bookmarkStart w:id="452" w:name="_Toc38442105"/>
      <w:bookmarkStart w:id="453" w:name="_Toc38442437"/>
      <w:bookmarkStart w:id="454" w:name="_Toc38442769"/>
      <w:bookmarkStart w:id="455" w:name="_Toc38443100"/>
      <w:bookmarkStart w:id="456" w:name="_Toc38443431"/>
      <w:bookmarkStart w:id="457" w:name="_Toc38443762"/>
      <w:bookmarkStart w:id="458" w:name="_Toc38433510"/>
      <w:bookmarkStart w:id="459" w:name="_Toc38433645"/>
      <w:bookmarkStart w:id="460" w:name="_Toc38433779"/>
      <w:bookmarkStart w:id="461" w:name="_Toc38433929"/>
      <w:bookmarkStart w:id="462" w:name="_Toc38434077"/>
      <w:bookmarkStart w:id="463" w:name="_Toc38434225"/>
      <w:bookmarkStart w:id="464" w:name="_Toc38434371"/>
      <w:bookmarkStart w:id="465" w:name="_Toc38434514"/>
      <w:bookmarkStart w:id="466" w:name="_Toc38434657"/>
      <w:bookmarkStart w:id="467" w:name="_Toc38434800"/>
      <w:bookmarkStart w:id="468" w:name="_Toc38434944"/>
      <w:bookmarkStart w:id="469" w:name="_Toc38437640"/>
      <w:bookmarkStart w:id="470" w:name="_Toc38437786"/>
      <w:bookmarkStart w:id="471" w:name="_Toc38437932"/>
      <w:bookmarkStart w:id="472" w:name="_Toc38438078"/>
      <w:bookmarkStart w:id="473" w:name="_Toc38438224"/>
      <w:bookmarkStart w:id="474" w:name="_Toc38438561"/>
      <w:bookmarkStart w:id="475" w:name="_Toc38438898"/>
      <w:bookmarkStart w:id="476" w:name="_Toc38439235"/>
      <w:bookmarkStart w:id="477" w:name="_Toc38439572"/>
      <w:bookmarkStart w:id="478" w:name="_Toc38439909"/>
      <w:bookmarkStart w:id="479" w:name="_Toc38440246"/>
      <w:bookmarkStart w:id="480" w:name="_Toc38440583"/>
      <w:bookmarkStart w:id="481" w:name="_Toc38440782"/>
      <w:bookmarkStart w:id="482" w:name="_Toc38441115"/>
      <w:bookmarkStart w:id="483" w:name="_Toc38441447"/>
      <w:bookmarkStart w:id="484" w:name="_Toc38441779"/>
      <w:bookmarkStart w:id="485" w:name="_Toc38442107"/>
      <w:bookmarkStart w:id="486" w:name="_Toc38442439"/>
      <w:bookmarkStart w:id="487" w:name="_Toc38442771"/>
      <w:bookmarkStart w:id="488" w:name="_Toc38443102"/>
      <w:bookmarkStart w:id="489" w:name="_Toc38443433"/>
      <w:bookmarkStart w:id="490" w:name="_Toc38443764"/>
      <w:bookmarkStart w:id="491" w:name="_Toc13148353"/>
      <w:bookmarkStart w:id="492" w:name="_Toc13150581"/>
      <w:bookmarkStart w:id="493" w:name="_Toc13291966"/>
      <w:bookmarkStart w:id="494" w:name="_Toc13504692"/>
      <w:bookmarkStart w:id="495" w:name="_Toc13504808"/>
      <w:bookmarkStart w:id="496" w:name="_Toc13556301"/>
      <w:bookmarkStart w:id="497" w:name="_Toc14337423"/>
      <w:bookmarkStart w:id="498" w:name="_Toc13148354"/>
      <w:bookmarkStart w:id="499" w:name="_Toc13150582"/>
      <w:bookmarkStart w:id="500" w:name="_Toc13291967"/>
      <w:bookmarkStart w:id="501" w:name="_Toc13504693"/>
      <w:bookmarkStart w:id="502" w:name="_Toc13504809"/>
      <w:bookmarkStart w:id="503" w:name="_Toc13556302"/>
      <w:bookmarkStart w:id="504" w:name="_Toc14337424"/>
      <w:bookmarkStart w:id="505" w:name="_Toc13148355"/>
      <w:bookmarkStart w:id="506" w:name="_Toc13150583"/>
      <w:bookmarkStart w:id="507" w:name="_Toc13291968"/>
      <w:bookmarkStart w:id="508" w:name="_Toc13504694"/>
      <w:bookmarkStart w:id="509" w:name="_Toc13504810"/>
      <w:bookmarkStart w:id="510" w:name="_Toc13556303"/>
      <w:bookmarkStart w:id="511" w:name="_Toc14337425"/>
      <w:bookmarkStart w:id="512" w:name="_Toc13148356"/>
      <w:bookmarkStart w:id="513" w:name="_Toc13150584"/>
      <w:bookmarkStart w:id="514" w:name="_Toc13291969"/>
      <w:bookmarkStart w:id="515" w:name="_Toc13504695"/>
      <w:bookmarkStart w:id="516" w:name="_Toc13504811"/>
      <w:bookmarkStart w:id="517" w:name="_Toc13556304"/>
      <w:bookmarkStart w:id="518" w:name="_Toc14337426"/>
      <w:bookmarkStart w:id="519" w:name="_Toc13148357"/>
      <w:bookmarkStart w:id="520" w:name="_Toc13150585"/>
      <w:bookmarkStart w:id="521" w:name="_Toc13291970"/>
      <w:bookmarkStart w:id="522" w:name="_Toc13504696"/>
      <w:bookmarkStart w:id="523" w:name="_Toc13504812"/>
      <w:bookmarkStart w:id="524" w:name="_Toc13556305"/>
      <w:bookmarkStart w:id="525" w:name="_Toc14337427"/>
      <w:bookmarkStart w:id="526" w:name="_Toc13148358"/>
      <w:bookmarkStart w:id="527" w:name="_Toc13150586"/>
      <w:bookmarkStart w:id="528" w:name="_Toc13291971"/>
      <w:bookmarkStart w:id="529" w:name="_Toc13504697"/>
      <w:bookmarkStart w:id="530" w:name="_Toc13504813"/>
      <w:bookmarkStart w:id="531" w:name="_Toc13556306"/>
      <w:bookmarkStart w:id="532" w:name="_Toc14337428"/>
      <w:bookmarkStart w:id="533" w:name="_Toc13148359"/>
      <w:bookmarkStart w:id="534" w:name="_Toc13150587"/>
      <w:bookmarkStart w:id="535" w:name="_Toc13291972"/>
      <w:bookmarkStart w:id="536" w:name="_Toc13504698"/>
      <w:bookmarkStart w:id="537" w:name="_Toc13504814"/>
      <w:bookmarkStart w:id="538" w:name="_Toc13556307"/>
      <w:bookmarkStart w:id="539" w:name="_Toc14337429"/>
      <w:bookmarkStart w:id="540" w:name="_Toc13148360"/>
      <w:bookmarkStart w:id="541" w:name="_Toc13150588"/>
      <w:bookmarkStart w:id="542" w:name="_Toc13291973"/>
      <w:bookmarkStart w:id="543" w:name="_Toc13504699"/>
      <w:bookmarkStart w:id="544" w:name="_Toc13504815"/>
      <w:bookmarkStart w:id="545" w:name="_Toc13556308"/>
      <w:bookmarkStart w:id="546" w:name="_Toc14337430"/>
      <w:bookmarkStart w:id="547" w:name="_Toc13148361"/>
      <w:bookmarkStart w:id="548" w:name="_Toc13150589"/>
      <w:bookmarkStart w:id="549" w:name="_Toc13291974"/>
      <w:bookmarkStart w:id="550" w:name="_Toc13504700"/>
      <w:bookmarkStart w:id="551" w:name="_Toc13504816"/>
      <w:bookmarkStart w:id="552" w:name="_Toc13556309"/>
      <w:bookmarkStart w:id="553" w:name="_Toc14337431"/>
      <w:bookmarkStart w:id="554" w:name="_Toc13148362"/>
      <w:bookmarkStart w:id="555" w:name="_Toc13150590"/>
      <w:bookmarkStart w:id="556" w:name="_Toc13291975"/>
      <w:bookmarkStart w:id="557" w:name="_Toc13504701"/>
      <w:bookmarkStart w:id="558" w:name="_Toc13504817"/>
      <w:bookmarkStart w:id="559" w:name="_Toc13556310"/>
      <w:bookmarkStart w:id="560" w:name="_Toc14337432"/>
      <w:bookmarkStart w:id="561" w:name="_Toc13148369"/>
      <w:bookmarkStart w:id="562" w:name="_Toc13150597"/>
      <w:bookmarkStart w:id="563" w:name="_Toc13291982"/>
      <w:bookmarkStart w:id="564" w:name="_Toc13504708"/>
      <w:bookmarkStart w:id="565" w:name="_Toc13504824"/>
      <w:bookmarkStart w:id="566" w:name="_Toc13556317"/>
      <w:bookmarkStart w:id="567" w:name="_Toc14337439"/>
      <w:bookmarkStart w:id="568" w:name="_Toc13148370"/>
      <w:bookmarkStart w:id="569" w:name="_Toc13150598"/>
      <w:bookmarkStart w:id="570" w:name="_Toc13291983"/>
      <w:bookmarkStart w:id="571" w:name="_Toc13504709"/>
      <w:bookmarkStart w:id="572" w:name="_Toc13504825"/>
      <w:bookmarkStart w:id="573" w:name="_Toc13556318"/>
      <w:bookmarkStart w:id="574" w:name="_Toc14337440"/>
      <w:bookmarkStart w:id="575" w:name="_Toc13148371"/>
      <w:bookmarkStart w:id="576" w:name="_Toc13150599"/>
      <w:bookmarkStart w:id="577" w:name="_Toc13291984"/>
      <w:bookmarkStart w:id="578" w:name="_Toc13504710"/>
      <w:bookmarkStart w:id="579" w:name="_Toc13504826"/>
      <w:bookmarkStart w:id="580" w:name="_Toc13556319"/>
      <w:bookmarkStart w:id="581" w:name="_Toc14337441"/>
      <w:bookmarkStart w:id="582" w:name="_Toc13148372"/>
      <w:bookmarkStart w:id="583" w:name="_Toc13150600"/>
      <w:bookmarkStart w:id="584" w:name="_Toc13291985"/>
      <w:bookmarkStart w:id="585" w:name="_Toc13504711"/>
      <w:bookmarkStart w:id="586" w:name="_Toc13504827"/>
      <w:bookmarkStart w:id="587" w:name="_Toc13556320"/>
      <w:bookmarkStart w:id="588" w:name="_Toc14337442"/>
      <w:bookmarkStart w:id="589" w:name="_Toc13148373"/>
      <w:bookmarkStart w:id="590" w:name="_Toc13150601"/>
      <w:bookmarkStart w:id="591" w:name="_Toc13291986"/>
      <w:bookmarkStart w:id="592" w:name="_Toc13504712"/>
      <w:bookmarkStart w:id="593" w:name="_Toc13504828"/>
      <w:bookmarkStart w:id="594" w:name="_Toc13556321"/>
      <w:bookmarkStart w:id="595" w:name="_Toc14337443"/>
      <w:bookmarkStart w:id="596" w:name="_Toc13148374"/>
      <w:bookmarkStart w:id="597" w:name="_Toc13150602"/>
      <w:bookmarkStart w:id="598" w:name="_Toc13291987"/>
      <w:bookmarkStart w:id="599" w:name="_Toc13504713"/>
      <w:bookmarkStart w:id="600" w:name="_Toc13504829"/>
      <w:bookmarkStart w:id="601" w:name="_Toc13556322"/>
      <w:bookmarkStart w:id="602" w:name="_Toc14337444"/>
      <w:bookmarkStart w:id="603" w:name="_Toc13148376"/>
      <w:bookmarkStart w:id="604" w:name="_Toc13150604"/>
      <w:bookmarkStart w:id="605" w:name="_Toc13291989"/>
      <w:bookmarkStart w:id="606" w:name="_Toc13504715"/>
      <w:bookmarkStart w:id="607" w:name="_Toc13504831"/>
      <w:bookmarkStart w:id="608" w:name="_Toc13556324"/>
      <w:bookmarkStart w:id="609" w:name="_Toc14337446"/>
      <w:bookmarkStart w:id="610" w:name="_Toc13148377"/>
      <w:bookmarkStart w:id="611" w:name="_Toc13150605"/>
      <w:bookmarkStart w:id="612" w:name="_Toc13291990"/>
      <w:bookmarkStart w:id="613" w:name="_Toc13504716"/>
      <w:bookmarkStart w:id="614" w:name="_Toc13504832"/>
      <w:bookmarkStart w:id="615" w:name="_Toc13556325"/>
      <w:bookmarkStart w:id="616" w:name="_Toc14337447"/>
      <w:bookmarkStart w:id="617" w:name="_Toc13148379"/>
      <w:bookmarkStart w:id="618" w:name="_Toc13150607"/>
      <w:bookmarkStart w:id="619" w:name="_Toc13291992"/>
      <w:bookmarkStart w:id="620" w:name="_Toc13504718"/>
      <w:bookmarkStart w:id="621" w:name="_Toc13504834"/>
      <w:bookmarkStart w:id="622" w:name="_Toc13556327"/>
      <w:bookmarkStart w:id="623" w:name="_Toc14337449"/>
      <w:bookmarkStart w:id="624" w:name="_Toc13148381"/>
      <w:bookmarkStart w:id="625" w:name="_Toc13150609"/>
      <w:bookmarkStart w:id="626" w:name="_Toc13291994"/>
      <w:bookmarkStart w:id="627" w:name="_Toc13504720"/>
      <w:bookmarkStart w:id="628" w:name="_Toc13504836"/>
      <w:bookmarkStart w:id="629" w:name="_Toc13556329"/>
      <w:bookmarkStart w:id="630" w:name="_Toc14337451"/>
      <w:bookmarkStart w:id="631" w:name="_Toc13148384"/>
      <w:bookmarkStart w:id="632" w:name="_Toc13150612"/>
      <w:bookmarkStart w:id="633" w:name="_Toc13291997"/>
      <w:bookmarkStart w:id="634" w:name="_Toc13504723"/>
      <w:bookmarkStart w:id="635" w:name="_Toc13504839"/>
      <w:bookmarkStart w:id="636" w:name="_Toc13556332"/>
      <w:bookmarkStart w:id="637" w:name="_Toc14337454"/>
      <w:bookmarkStart w:id="638" w:name="_Toc13148385"/>
      <w:bookmarkStart w:id="639" w:name="_Toc13150613"/>
      <w:bookmarkStart w:id="640" w:name="_Toc13291998"/>
      <w:bookmarkStart w:id="641" w:name="_Toc13504724"/>
      <w:bookmarkStart w:id="642" w:name="_Toc13504840"/>
      <w:bookmarkStart w:id="643" w:name="_Toc13556333"/>
      <w:bookmarkStart w:id="644" w:name="_Toc14337455"/>
      <w:bookmarkStart w:id="645" w:name="_Toc13148390"/>
      <w:bookmarkStart w:id="646" w:name="_Toc13150618"/>
      <w:bookmarkStart w:id="647" w:name="_Toc13292003"/>
      <w:bookmarkStart w:id="648" w:name="_Toc13504729"/>
      <w:bookmarkStart w:id="649" w:name="_Toc13504845"/>
      <w:bookmarkStart w:id="650" w:name="_Toc13556338"/>
      <w:bookmarkStart w:id="651" w:name="_Toc14337460"/>
      <w:bookmarkStart w:id="652" w:name="_Toc13148391"/>
      <w:bookmarkStart w:id="653" w:name="_Toc13150619"/>
      <w:bookmarkStart w:id="654" w:name="_Toc13292004"/>
      <w:bookmarkStart w:id="655" w:name="_Toc13504730"/>
      <w:bookmarkStart w:id="656" w:name="_Toc13504846"/>
      <w:bookmarkStart w:id="657" w:name="_Toc13556339"/>
      <w:bookmarkStart w:id="658" w:name="_Toc14337461"/>
      <w:bookmarkStart w:id="659" w:name="_Toc13148392"/>
      <w:bookmarkStart w:id="660" w:name="_Toc13150620"/>
      <w:bookmarkStart w:id="661" w:name="_Toc13292005"/>
      <w:bookmarkStart w:id="662" w:name="_Toc13504731"/>
      <w:bookmarkStart w:id="663" w:name="_Toc13504847"/>
      <w:bookmarkStart w:id="664" w:name="_Toc13556340"/>
      <w:bookmarkStart w:id="665" w:name="_Toc14337462"/>
      <w:bookmarkStart w:id="666" w:name="_Toc13148393"/>
      <w:bookmarkStart w:id="667" w:name="_Toc13150621"/>
      <w:bookmarkStart w:id="668" w:name="_Toc13292006"/>
      <w:bookmarkStart w:id="669" w:name="_Toc13504732"/>
      <w:bookmarkStart w:id="670" w:name="_Toc13504848"/>
      <w:bookmarkStart w:id="671" w:name="_Toc13556341"/>
      <w:bookmarkStart w:id="672" w:name="_Toc14337463"/>
      <w:bookmarkStart w:id="673" w:name="_Toc13148394"/>
      <w:bookmarkStart w:id="674" w:name="_Toc13150622"/>
      <w:bookmarkStart w:id="675" w:name="_Toc13292007"/>
      <w:bookmarkStart w:id="676" w:name="_Toc13504733"/>
      <w:bookmarkStart w:id="677" w:name="_Toc13504849"/>
      <w:bookmarkStart w:id="678" w:name="_Toc13556342"/>
      <w:bookmarkStart w:id="679" w:name="_Toc14337464"/>
      <w:bookmarkStart w:id="680" w:name="_Toc13148395"/>
      <w:bookmarkStart w:id="681" w:name="_Toc13150623"/>
      <w:bookmarkStart w:id="682" w:name="_Toc13292008"/>
      <w:bookmarkStart w:id="683" w:name="_Toc13504734"/>
      <w:bookmarkStart w:id="684" w:name="_Toc13504850"/>
      <w:bookmarkStart w:id="685" w:name="_Toc13556343"/>
      <w:bookmarkStart w:id="686" w:name="_Toc14337465"/>
      <w:bookmarkStart w:id="687" w:name="_Toc13148396"/>
      <w:bookmarkStart w:id="688" w:name="_Toc13150624"/>
      <w:bookmarkStart w:id="689" w:name="_Toc13292009"/>
      <w:bookmarkStart w:id="690" w:name="_Toc13504735"/>
      <w:bookmarkStart w:id="691" w:name="_Toc13504851"/>
      <w:bookmarkStart w:id="692" w:name="_Toc13556344"/>
      <w:bookmarkStart w:id="693" w:name="_Toc14337466"/>
      <w:bookmarkStart w:id="694" w:name="_Toc13148397"/>
      <w:bookmarkStart w:id="695" w:name="_Toc13150625"/>
      <w:bookmarkStart w:id="696" w:name="_Toc13292010"/>
      <w:bookmarkStart w:id="697" w:name="_Toc13504736"/>
      <w:bookmarkStart w:id="698" w:name="_Toc13504852"/>
      <w:bookmarkStart w:id="699" w:name="_Toc13556345"/>
      <w:bookmarkStart w:id="700" w:name="_Toc14337467"/>
      <w:bookmarkStart w:id="701" w:name="_Toc13148398"/>
      <w:bookmarkStart w:id="702" w:name="_Toc13150626"/>
      <w:bookmarkStart w:id="703" w:name="_Toc13292011"/>
      <w:bookmarkStart w:id="704" w:name="_Toc13504737"/>
      <w:bookmarkStart w:id="705" w:name="_Toc13504853"/>
      <w:bookmarkStart w:id="706" w:name="_Toc13556346"/>
      <w:bookmarkStart w:id="707" w:name="_Toc14337468"/>
      <w:bookmarkStart w:id="708" w:name="_Toc13148399"/>
      <w:bookmarkStart w:id="709" w:name="_Toc13150627"/>
      <w:bookmarkStart w:id="710" w:name="_Toc13292012"/>
      <w:bookmarkStart w:id="711" w:name="_Toc13504738"/>
      <w:bookmarkStart w:id="712" w:name="_Toc13504854"/>
      <w:bookmarkStart w:id="713" w:name="_Toc13556347"/>
      <w:bookmarkStart w:id="714" w:name="_Toc14337469"/>
      <w:bookmarkStart w:id="715" w:name="_Toc13148400"/>
      <w:bookmarkStart w:id="716" w:name="_Toc13150628"/>
      <w:bookmarkStart w:id="717" w:name="_Toc13292013"/>
      <w:bookmarkStart w:id="718" w:name="_Toc13504739"/>
      <w:bookmarkStart w:id="719" w:name="_Toc13504855"/>
      <w:bookmarkStart w:id="720" w:name="_Toc13556348"/>
      <w:bookmarkStart w:id="721" w:name="_Toc14337470"/>
      <w:bookmarkStart w:id="722" w:name="_Toc13148401"/>
      <w:bookmarkStart w:id="723" w:name="_Toc13150629"/>
      <w:bookmarkStart w:id="724" w:name="_Toc13292014"/>
      <w:bookmarkStart w:id="725" w:name="_Toc13504740"/>
      <w:bookmarkStart w:id="726" w:name="_Toc13504856"/>
      <w:bookmarkStart w:id="727" w:name="_Toc13556349"/>
      <w:bookmarkStart w:id="728" w:name="_Toc14337471"/>
      <w:bookmarkStart w:id="729" w:name="_Toc13148402"/>
      <w:bookmarkStart w:id="730" w:name="_Toc13150630"/>
      <w:bookmarkStart w:id="731" w:name="_Toc13292015"/>
      <w:bookmarkStart w:id="732" w:name="_Toc13504741"/>
      <w:bookmarkStart w:id="733" w:name="_Toc13504857"/>
      <w:bookmarkStart w:id="734" w:name="_Toc13556350"/>
      <w:bookmarkStart w:id="735" w:name="_Toc14337472"/>
      <w:bookmarkStart w:id="736" w:name="_Toc13148408"/>
      <w:bookmarkStart w:id="737" w:name="_Toc13150636"/>
      <w:bookmarkStart w:id="738" w:name="_Toc13292021"/>
      <w:bookmarkStart w:id="739" w:name="_Toc13504747"/>
      <w:bookmarkStart w:id="740" w:name="_Toc13504863"/>
      <w:bookmarkStart w:id="741" w:name="_Toc13556356"/>
      <w:bookmarkStart w:id="742" w:name="_Toc14337478"/>
      <w:bookmarkStart w:id="743" w:name="_Toc13148409"/>
      <w:bookmarkStart w:id="744" w:name="_Toc13150637"/>
      <w:bookmarkStart w:id="745" w:name="_Toc13292022"/>
      <w:bookmarkStart w:id="746" w:name="_Toc13504748"/>
      <w:bookmarkStart w:id="747" w:name="_Toc13504864"/>
      <w:bookmarkStart w:id="748" w:name="_Toc13556357"/>
      <w:bookmarkStart w:id="749" w:name="_Toc14337479"/>
      <w:bookmarkStart w:id="750" w:name="_Toc13148411"/>
      <w:bookmarkStart w:id="751" w:name="_Toc13150639"/>
      <w:bookmarkStart w:id="752" w:name="_Toc13292024"/>
      <w:bookmarkStart w:id="753" w:name="_Toc13504750"/>
      <w:bookmarkStart w:id="754" w:name="_Toc13504866"/>
      <w:bookmarkStart w:id="755" w:name="_Toc13556359"/>
      <w:bookmarkStart w:id="756" w:name="_Toc14337481"/>
      <w:bookmarkStart w:id="757" w:name="_Toc13148412"/>
      <w:bookmarkStart w:id="758" w:name="_Toc13150640"/>
      <w:bookmarkStart w:id="759" w:name="_Toc13292025"/>
      <w:bookmarkStart w:id="760" w:name="_Toc13504751"/>
      <w:bookmarkStart w:id="761" w:name="_Toc13504867"/>
      <w:bookmarkStart w:id="762" w:name="_Toc13556360"/>
      <w:bookmarkStart w:id="763" w:name="_Toc14337482"/>
      <w:bookmarkStart w:id="764" w:name="_Toc13148413"/>
      <w:bookmarkStart w:id="765" w:name="_Toc13150641"/>
      <w:bookmarkStart w:id="766" w:name="_Toc13292026"/>
      <w:bookmarkStart w:id="767" w:name="_Toc13504752"/>
      <w:bookmarkStart w:id="768" w:name="_Toc13504868"/>
      <w:bookmarkStart w:id="769" w:name="_Toc13556361"/>
      <w:bookmarkStart w:id="770" w:name="_Toc14337483"/>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sidRPr="00286323">
        <w:rPr>
          <w:rFonts w:asciiTheme="minorEastAsia" w:eastAsiaTheme="minorEastAsia" w:hAnsiTheme="minorEastAsia" w:cs="Arial" w:hint="eastAsia"/>
          <w:b w:val="0"/>
          <w:color w:val="000000" w:themeColor="text1"/>
        </w:rPr>
        <w:t>基金管理人的权利、义务</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1、根据《基金法》、《运作办法》及其他有关规定，基金管理人的权利包括但不限于：</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（1）依法募集基金；</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（2）自《基金合同》生效之日起，根据法律法规和《基金合同》独立运用并管理基金财产；</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（3）依照《基金合同》收取基金管理费以及法律法规规定或中国证监会批准的其他费用；</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（4）销售基金份额；</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（5）召集基金份额持有人大会；</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（6）依据《基金合同》及有关法律规定监督基金托管人，如认为基金托管人违反了《基金合同》及国家有关法律规定，应呈报中国证监会和其他监管部门，并采取必要措施保护基金投资者的利益；</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（7）在基金托管人更换时，提名新的基金托管人；</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（8）选择、更换基金销售机构，对基金销售机构的相关行为进行监督和处理；</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（9）担任或委托其他符合条件的机构担任基金注册登记机构办理基金注册登记业务并获得《基金合同》规定的费用；</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（10）依据《基金合同》及有关法律规定决定基金收益的分配方案；</w:t>
      </w:r>
      <w:r w:rsidRPr="00286323">
        <w:rPr>
          <w:rFonts w:asciiTheme="minorEastAsia" w:eastAsiaTheme="minorEastAsia" w:hAnsiTheme="minorEastAsia" w:hint="eastAsia"/>
          <w:bCs/>
          <w:color w:val="000000" w:themeColor="text1"/>
        </w:rPr>
        <w:tab/>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（11）在《基金合同》约定的范围内，拒绝或暂停受理申购与赎回申请；</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（12）依照法律法规为基金的利益对被投资公司行使股东权利，为基金的利益行使因基金财产投资于证券所产生的权利；</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（13）在法律法规允许的前提下，为基金的利益依法为基金进行融资；</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（14）以基金管理人的名义，代表基金份额持有人的利益行使诉讼权利或者实施其他法律行为；</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（15）选择、更换律师事务所、会计师事务所、证券经纪商或其他为基金提供服务的外部机构；</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（16）在符合有关法律、法规的前提下，制订和调整有关基金认购、申购、赎回、转换和非交易过户的业务规则；</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（17）法律法规和《基金合同》规定的其他权利。</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2、根据《基金法》、《运作办法》及其他有关规定，基金管理人的义务包括但不限于：</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（1）依法募集基金，办理或者委托经中国证监会认定的其他机构代为办理基金份额的发售、申购、赎回和注册登记事宜；</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lastRenderedPageBreak/>
        <w:t>（2）办理基金备案手续；</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（3）自《基金合同》生效之日起,以诚实信用、谨慎勤勉的原则管理和运用基金财产；</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（4）配备足够的具有专业资格的人员进行基金投资分析、决策，以专业化的经营方式管理和运作基金财产；</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（5）建立健全内部风险控制、监察与稽核、财务管理及人事管理等制度，保证所管理的基金财产和基金管理人的财产相互独立,对所管理的不同基金分别管理，分别记账，进行证券投资；</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（6）除依据《基金法》、《基金合同》及其他有关规定外,不得利用基金财产为自己及任何第三人谋取利益，不得委托第三人运作基金财产；</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（7）依法接受基金托管人的监督；</w:t>
      </w:r>
    </w:p>
    <w:p w:rsidR="00BD2A0B" w:rsidRPr="00286323" w:rsidRDefault="00BD2A0B"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8</w:t>
      </w:r>
      <w:r w:rsidRPr="00286323">
        <w:rPr>
          <w:rFonts w:asciiTheme="minorEastAsia" w:eastAsiaTheme="minorEastAsia" w:hAnsiTheme="minorEastAsia" w:hint="eastAsia"/>
          <w:bCs/>
          <w:color w:val="000000" w:themeColor="text1"/>
        </w:rPr>
        <w:t>）采取适当合理的措施使计算基金份额认购、申购、赎回和注销价格的方法符合《基金合同》等法律文件的规定，按有关规定计算并公告基金净值信息，确定基金份额申购、赎回的价格；</w:t>
      </w:r>
    </w:p>
    <w:p w:rsidR="00BD2A0B" w:rsidRPr="00286323" w:rsidRDefault="00BD2A0B"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9</w:t>
      </w:r>
      <w:r w:rsidRPr="00286323">
        <w:rPr>
          <w:rFonts w:asciiTheme="minorEastAsia" w:eastAsiaTheme="minorEastAsia" w:hAnsiTheme="minorEastAsia" w:hint="eastAsia"/>
          <w:bCs/>
          <w:color w:val="000000" w:themeColor="text1"/>
        </w:rPr>
        <w:t>）进行基金会计核算并编制基金财务会计报告；</w:t>
      </w:r>
    </w:p>
    <w:p w:rsidR="00BD2A0B" w:rsidRPr="00286323" w:rsidRDefault="00BD2A0B"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w:t>
      </w:r>
      <w:r w:rsidRPr="00286323">
        <w:rPr>
          <w:rFonts w:asciiTheme="minorEastAsia" w:eastAsiaTheme="minorEastAsia" w:hAnsiTheme="minorEastAsia"/>
          <w:bCs/>
          <w:color w:val="000000" w:themeColor="text1"/>
        </w:rPr>
        <w:t>10</w:t>
      </w:r>
      <w:r w:rsidRPr="00286323">
        <w:rPr>
          <w:rFonts w:asciiTheme="minorEastAsia" w:eastAsiaTheme="minorEastAsia" w:hAnsiTheme="minorEastAsia" w:hint="eastAsia"/>
          <w:bCs/>
          <w:color w:val="000000" w:themeColor="text1"/>
        </w:rPr>
        <w:t>）编制季度报告、中期报告和年度报告；</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（11）严格按照《基金法》、《基金合同》及其他有关规定，履行信息披露及报告义务；</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（12）保守基金商业秘密，不泄露基金投资计划、投资意向等。除《基金法》、《基金合同》及其他有关规定另有规定外，在基金信息公开披露前应予保密，不向他人泄露；</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（13）按《基金合同》的约定确定基金收益分配方案，及时向基金份额持有人分配基金收益；</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（14）按规定受理申购与赎回申请，及时、足额支付赎回款项；</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（15）依据《基金法》、《基金合同》及其他有关规定召集基金份额持有人大会或配合基金托管人、基金份额持有人依法召集基金份额持有人大会；</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（16）按规定保存基金财产管理业务活动的会计账册、报表、记录和其他相关资料15年以上；</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（18）组织并参加基金财产清算小组,参与基金财产的保管、清理、估价、变现和分配；</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（19）面临解散、依法被撤销或者被依法宣告破产时，及时报告中国证监会并通知基金托管人；</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lastRenderedPageBreak/>
        <w:t>（20）因违反《基金合同》导致基金财产的损失或损害基金份额持有人合法权益时，应当承担赔偿责任，其赔偿责任不因其退任而免除；</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（21）监督基金托管人按法律法规和《基金合同》规定履行自己的义务，基金托管人违反《基金合同》造成基金财产损失时，基金管理人应为基金份额持有人利益向基金托管人追偿；</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（22）当基金管理人将其义务委托第三方处理时，应当对第三方处理有关基金事务的行为承担责任；</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（23）以基金管理人名义，代表基金份额持有人利益行使诉讼权利或实施其他法律行为；</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（24）基金管理人在募集期间未能达到基金的备案条件，《基金合同》不能生效，基金管理人承担全部募集费用，将已募集资金并加计银行同期存款利息在基金募集期结束后30日内退还基金认购人；</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（25）执行生效的基金份额持有人大会的决议；</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（26）建立并保存基金份额持有人名册；</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bCs/>
          <w:color w:val="000000" w:themeColor="text1"/>
        </w:rPr>
        <w:t>（27）法律法规及中国证监会规定的和《基金合同》约定的其他义务。</w:t>
      </w:r>
    </w:p>
    <w:p w:rsidR="00A64800" w:rsidRPr="00286323" w:rsidRDefault="00A64800" w:rsidP="005F0E3E">
      <w:pPr>
        <w:pStyle w:val="20"/>
        <w:numPr>
          <w:ilvl w:val="1"/>
          <w:numId w:val="9"/>
        </w:numPr>
        <w:snapToGrid w:val="0"/>
        <w:spacing w:beforeLines="0" w:afterLines="0" w:line="360" w:lineRule="auto"/>
        <w:ind w:leftChars="-67" w:left="-1" w:hangingChars="50" w:hanging="140"/>
        <w:rPr>
          <w:rFonts w:asciiTheme="minorEastAsia" w:eastAsiaTheme="minorEastAsia" w:hAnsiTheme="minorEastAsia" w:cs="Arial"/>
          <w:b w:val="0"/>
          <w:color w:val="000000" w:themeColor="text1"/>
        </w:rPr>
      </w:pPr>
      <w:r w:rsidRPr="00286323">
        <w:rPr>
          <w:rFonts w:asciiTheme="minorEastAsia" w:eastAsiaTheme="minorEastAsia" w:hAnsiTheme="minorEastAsia" w:cs="Arial" w:hint="eastAsia"/>
          <w:b w:val="0"/>
          <w:color w:val="000000" w:themeColor="text1"/>
        </w:rPr>
        <w:t>基金托管人的权利、义务</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1、根据《基金法》、《运作办法》及其他有关规定，基金托管人的权利包括但不限于：</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（1）自《基金合同》生效之日起，依法律法规和《基金合同》的规定安全保管基金财产；</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（2）依《基金合同》约定获得基金托管费以及法律法规规定或监管部门批准的其他费用；</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（4）根据相关市场规则，为基金开设证券账户、为基金办理证券交易资金清算。</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（5）提议召开或召集基金份额持有人大会；</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（6）在基金管理人更换时，提名新的基金管理人；</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（7）法律法规和《基金合同》规定的其他权利。</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2、根据《基金法》、《运作办法》及其他有关规定，基金托管人的义务包括但不限于：</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（1）以诚实信用、勤勉尽责的原则持有并安全保管基金财产；</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（2）设立专门的基金托管部门，具有符合要求的营业场所，配备足够的、合格的熟悉基金托管业务的专职人员，负责基金财产托管事宜；</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（4）除依据《基金法》、《基金合同》及其他有关规定外，不得利用基金财产为自己及任何第三人谋取利益，不得委托第三人托管基金财产；</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（5）保管由基金管理人代表基金签订的与基金有关的重大合同及有关凭证；</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（6）按规定开设基金财产的资金账户和证券账户,按照《基金合同》的约定，根据基金管理人的投资指令，及时办理清算、交割事宜；</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（7）保守基金商业秘密，除《基金法》、《基金合同》及其他有关规定另有规定外，在基金信息公开披露前予以保密，不得向他人泄露；</w:t>
      </w:r>
    </w:p>
    <w:p w:rsidR="00BD2A0B" w:rsidRPr="00286323" w:rsidRDefault="00BD2A0B" w:rsidP="006D6AC5">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w:t>
      </w:r>
      <w:r w:rsidRPr="00286323">
        <w:rPr>
          <w:rFonts w:asciiTheme="minorEastAsia" w:eastAsiaTheme="minorEastAsia" w:hAnsiTheme="minorEastAsia"/>
          <w:color w:val="000000" w:themeColor="text1"/>
        </w:rPr>
        <w:t>8</w:t>
      </w:r>
      <w:r w:rsidRPr="00286323">
        <w:rPr>
          <w:rFonts w:asciiTheme="minorEastAsia" w:eastAsiaTheme="minorEastAsia" w:hAnsiTheme="minorEastAsia" w:hint="eastAsia"/>
          <w:color w:val="000000" w:themeColor="text1"/>
        </w:rPr>
        <w:t>）复核、审查基金管理人计算的基金资产净值、基金份额净值、基金份额申购、赎回价格；</w:t>
      </w:r>
    </w:p>
    <w:p w:rsidR="00BD2A0B" w:rsidRPr="00286323" w:rsidRDefault="00BD2A0B" w:rsidP="006D6AC5">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w:t>
      </w:r>
      <w:r w:rsidRPr="00286323">
        <w:rPr>
          <w:rFonts w:asciiTheme="minorEastAsia" w:eastAsiaTheme="minorEastAsia" w:hAnsiTheme="minorEastAsia"/>
          <w:color w:val="000000" w:themeColor="text1"/>
        </w:rPr>
        <w:t>9</w:t>
      </w:r>
      <w:r w:rsidRPr="00286323">
        <w:rPr>
          <w:rFonts w:asciiTheme="minorEastAsia" w:eastAsiaTheme="minorEastAsia" w:hAnsiTheme="minorEastAsia" w:hint="eastAsia"/>
          <w:color w:val="000000" w:themeColor="text1"/>
        </w:rPr>
        <w:t>）办理与基金托管业务活动有关的信息披露事项；</w:t>
      </w:r>
    </w:p>
    <w:p w:rsidR="00BD2A0B" w:rsidRPr="00286323" w:rsidRDefault="00BD2A0B" w:rsidP="006D6AC5">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w:t>
      </w:r>
      <w:r w:rsidRPr="00286323">
        <w:rPr>
          <w:rFonts w:asciiTheme="minorEastAsia" w:eastAsiaTheme="minorEastAsia" w:hAnsiTheme="minorEastAsia"/>
          <w:color w:val="000000" w:themeColor="text1"/>
        </w:rPr>
        <w:t>10</w:t>
      </w:r>
      <w:r w:rsidRPr="00286323">
        <w:rPr>
          <w:rFonts w:asciiTheme="minorEastAsia" w:eastAsiaTheme="minorEastAsia" w:hAnsiTheme="minorEastAsia" w:hint="eastAsia"/>
          <w:color w:val="000000" w:themeColor="text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（11）保存基金托管业务活动的记录、账册、报表和其他相关资料15年以上；</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（12）建立并保存基金份额持有人名册；</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（13）按规定制作相关账册并与基金管理人核对；</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（14）依据基金管理人的指令或有关规定向基金份额持有人支付基金收益和赎回款项；</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（15）依据《基金法》、《基金合同》及其他有关规定，召集基金份额持有人大会或配合基金管理人、基金份额持有人依法召集基金份额持有人大会；</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（16）按照法律法规和《基金合同》的规定监督基金管理人的投资运作；</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（17）参加基金财产清算小组，参与基金财产的保管、清理、估价、变现和分配；</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（18）面临解散、依法被撤销或者被依法宣告破产时，及时报告中国证监会和银行监管机构，并通知基金管理人；</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（19）因违反《基金合同》导致基金财产损失时，应承担赔偿责任，其赔偿责任不因其退任而免除；</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（20）按规定监督基金管理人按法律法规和《基金合同》规定履行自己的义务，基金管理人因违反《基金合同》造成基金财产损失时，应为基金份额持有人利益向基金管理人追偿；</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（21）执行生效的基金份额持有人大会的决定；</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（22）法律法规及中国证监会规定的和《基金合同》约定的其他义务。</w:t>
      </w:r>
    </w:p>
    <w:p w:rsidR="00A64800" w:rsidRPr="00286323" w:rsidRDefault="00A64800" w:rsidP="005F0E3E">
      <w:pPr>
        <w:pStyle w:val="20"/>
        <w:numPr>
          <w:ilvl w:val="1"/>
          <w:numId w:val="9"/>
        </w:numPr>
        <w:snapToGrid w:val="0"/>
        <w:spacing w:beforeLines="0" w:afterLines="0" w:line="360" w:lineRule="auto"/>
        <w:ind w:leftChars="-67" w:left="-1" w:hangingChars="50" w:hanging="140"/>
        <w:rPr>
          <w:rFonts w:asciiTheme="minorEastAsia" w:eastAsiaTheme="minorEastAsia" w:hAnsiTheme="minorEastAsia" w:cs="Arial"/>
          <w:b w:val="0"/>
          <w:color w:val="000000" w:themeColor="text1"/>
        </w:rPr>
      </w:pPr>
      <w:r w:rsidRPr="00286323">
        <w:rPr>
          <w:rFonts w:asciiTheme="minorEastAsia" w:eastAsiaTheme="minorEastAsia" w:hAnsiTheme="minorEastAsia" w:cs="Arial" w:hint="eastAsia"/>
          <w:b w:val="0"/>
          <w:color w:val="000000" w:themeColor="text1"/>
        </w:rPr>
        <w:t>基金份额持有人的权利、义务</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基金投资者持有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每份基金份额具有同等的合法权益。</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1、根据《基金法》、《运作办法》及其他有关规定，基金份额持有人的权利包括但不限于：</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（1）分享基金财产收益；</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（2）参与分配清算后的剩余基金财产；</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（3）依法申请赎回其持有的基金份额；</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（4）按照规定要求召开基金份额持有人大会；</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（5）出席或者委派代表出席基金份额持有人大会，对基金份额持有人大会审议事项行使表决权；</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（6）查阅或者复制公开披露的基金信息资料；</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（7）监督基金管理人的投资运作；</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（8）对基金管理人、基金托管人、基金销售机构损害其合法权益的行为依法提起诉讼或仲裁；</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（9）法律法规和《基金合同》规定的其他权利。</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2、根据《基金法》、《运作办法》及其他有关规定，基金份额持有人的义务包括但不限于：</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（1）认真阅读并遵守《基金合同》；</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（2）了解所投资基金产品，了解自身风险承受能力，自行承担投资风险；</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（3）关注基金信息披露，及时行使权利和履行义务；</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（4）缴纳基金认购、申购、赎回款项及法律法规和《基金合同》所规定的费用；</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（5）在其持有的基金份额范围内，承担基金亏损或者《基金合同》终止的有限责任；</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（6）不从事任何有损基金及其他《基金合同》当事人合法权益的活动；</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（7）执行生效的基金份额持有人大会的决定；</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（8）返还在基金交易过程中因任何原因获得的不当得利；</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（9）法律法规及中国证监会规定的和《基金合同》约定的其他义务。</w:t>
      </w:r>
    </w:p>
    <w:p w:rsidR="00A64800" w:rsidRPr="00286323" w:rsidRDefault="00A64800" w:rsidP="005F0E3E">
      <w:pPr>
        <w:pStyle w:val="20"/>
        <w:numPr>
          <w:ilvl w:val="1"/>
          <w:numId w:val="9"/>
        </w:numPr>
        <w:snapToGrid w:val="0"/>
        <w:spacing w:beforeLines="0" w:afterLines="0" w:line="360" w:lineRule="auto"/>
        <w:ind w:leftChars="-67" w:left="-1" w:hangingChars="50" w:hanging="140"/>
        <w:rPr>
          <w:rFonts w:asciiTheme="minorEastAsia" w:eastAsiaTheme="minorEastAsia" w:hAnsiTheme="minorEastAsia" w:cs="Arial"/>
          <w:b w:val="0"/>
          <w:color w:val="000000" w:themeColor="text1"/>
        </w:rPr>
      </w:pPr>
      <w:r w:rsidRPr="00286323">
        <w:rPr>
          <w:rFonts w:asciiTheme="minorEastAsia" w:eastAsiaTheme="minorEastAsia" w:hAnsiTheme="minorEastAsia" w:cs="Arial" w:hint="eastAsia"/>
          <w:b w:val="0"/>
          <w:color w:val="000000" w:themeColor="text1"/>
        </w:rPr>
        <w:lastRenderedPageBreak/>
        <w:t>基金份额持有人大会召集、议事及表决的程序和规则</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基金份额持有人大会由基金份额持有人组成，基金份额持有人的合法授权代表有权代表基金份额持有人出席会议并表决。基金份额持有人持有的每一基金份额拥有平等的投票权。</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1、召开事由</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（1）当出现或需要决定下列事由之一的，应当召开基金份额持有人大会：</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1）终止《基金合同》；</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2）更换基金管理人；</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3）更换基金托管人；</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4）转换基金运作方式；</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5）提高基金管理人、基金托管人的报酬标准；</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6）变更基金类别；</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7）本基金与其他基金的合并；</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8）变更基金投资目标、范围或策略；</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9）变更基金份额持有人大会程序；</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10）基金管理人或基金托管人要求召开基金份额持有人大会；</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11）单独或合计持有本基金总份额10%以上（含10%）基金份额的基金份额持有人（以基金管理人收到提议当日的基金份额计算，下同）就同一事项书面要求召开基金份额持有人大会；</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12）对基金当事人权利和义务产生重大影响的其他事项；</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13）法律法规、《基金合同》或中国证监会规定的其他应当召开基金份额持有人大会的事项。</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（2）以下情况可由基金管理人和基金托管人协商后修改，不需召开基金份额持有人大会：</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1）调低基金管理费、基金托管费；</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2）法律法规要求增加的基金费用的收取；</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3）在法律法规和《基金合同》规定的范围内调整本基金的申购费率、调低赎回费率或变更收费方式；</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4）因相应的法律法规发生变动而应当对《基金合同》进行修改；</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5）对《基金合同》的修改对基金份额持有人利益无实质性不利影响或修改不涉及《基金合同》当事人权利义务关系发生重大变化；</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color w:val="000000" w:themeColor="text1"/>
        </w:rPr>
        <w:lastRenderedPageBreak/>
        <w:t>6）</w:t>
      </w:r>
      <w:r w:rsidRPr="00286323">
        <w:rPr>
          <w:rFonts w:asciiTheme="minorEastAsia" w:eastAsiaTheme="minorEastAsia" w:hAnsiTheme="minorEastAsia" w:hint="eastAsia"/>
          <w:bCs/>
          <w:color w:val="000000" w:themeColor="text1"/>
        </w:rPr>
        <w:t>基金管理人、基金登记机构、基金销售机构，在法律法规规定或中国证监会许可的范围内调整有关认购、申购、赎回、转换、基金交易、非交易过户、转托管等业务规则；</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color w:val="000000" w:themeColor="text1"/>
        </w:rPr>
        <w:t>7）</w:t>
      </w:r>
      <w:r w:rsidRPr="00286323">
        <w:rPr>
          <w:rFonts w:asciiTheme="minorEastAsia" w:eastAsiaTheme="minorEastAsia" w:hAnsiTheme="minorEastAsia" w:hint="eastAsia"/>
          <w:bCs/>
          <w:color w:val="000000" w:themeColor="text1"/>
        </w:rPr>
        <w:t>在法律法规规定或中国证监会许可的范围内基金推出新业务或服务；</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8）</w:t>
      </w:r>
      <w:r w:rsidRPr="00286323">
        <w:rPr>
          <w:rFonts w:asciiTheme="minorEastAsia" w:eastAsiaTheme="minorEastAsia" w:hAnsiTheme="minorEastAsia" w:hint="eastAsia"/>
          <w:bCs/>
          <w:color w:val="000000" w:themeColor="text1"/>
        </w:rPr>
        <w:t>在法律法规规定或中国证监会许可的范围内调整基金份额类别设置</w:t>
      </w:r>
      <w:r w:rsidRPr="00286323">
        <w:rPr>
          <w:rFonts w:asciiTheme="minorEastAsia" w:eastAsiaTheme="minorEastAsia" w:hAnsiTheme="minorEastAsia" w:hint="eastAsia"/>
          <w:color w:val="000000" w:themeColor="text1"/>
        </w:rPr>
        <w:t>；</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9）按照法律法规和《基金合同》规定不需召开基金份额持有人大会的其他情形。</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2、会议召集人及召集方式</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（1）除法律法规规定或《基金合同》另有约定外，基金份额持有人大会由基金管理人召集；</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（2）基金管理人未按规定召集或不能召集时，由基金托管人召集；</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（6）基金份额持有人会议的召集人负责选择确定开会时间、地点、方式和权益登记日。</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3、召开基金份额持有人大会的通知时间、通知内容、通知方式</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（1）召开基金份额持有人大会，召集人应于会议召开前30日，在</w:t>
      </w:r>
      <w:r w:rsidR="007C4910" w:rsidRPr="00286323">
        <w:rPr>
          <w:rFonts w:asciiTheme="minorEastAsia" w:eastAsiaTheme="minorEastAsia" w:hAnsiTheme="minorEastAsia" w:cs="Arial" w:hint="eastAsia"/>
          <w:color w:val="000000" w:themeColor="text1"/>
        </w:rPr>
        <w:t>指定媒介</w:t>
      </w:r>
      <w:r w:rsidRPr="00286323">
        <w:rPr>
          <w:rFonts w:asciiTheme="minorEastAsia" w:eastAsiaTheme="minorEastAsia" w:hAnsiTheme="minorEastAsia" w:hint="eastAsia"/>
          <w:color w:val="000000" w:themeColor="text1"/>
        </w:rPr>
        <w:t>公告。基金份额持有人大会通知应至少载明以下内容：</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1）会议召开的时间、地点和会议形式；</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2）会议拟审议的事项、议事程序和表决方式；</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3）有权出席基金份额持有人大会的基金份额持有人的权益登记日；</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4）授权委托证明的内容要求（包括但不限于代理人身份，代理权限和代理有效期限等）、送达时间和地点;</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5）会务常设联系人姓名及联系电话；</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6）出席会议者必须准备的文件和必须履行的手续；</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7）召集人需要通知的其他事项。</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4、基金份额持有人出席会议的方式</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基金份额持有人大会可通过现场开会方式、通讯开会方式及法律法规、中国证监会允许的其他方式召开，会议的召开方式由会议召集人确定。</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w:t>
      </w:r>
      <w:r w:rsidRPr="00286323">
        <w:rPr>
          <w:rFonts w:asciiTheme="minorEastAsia" w:eastAsiaTheme="minorEastAsia" w:hAnsiTheme="minorEastAsia" w:hint="eastAsia"/>
          <w:bCs/>
          <w:color w:val="000000" w:themeColor="text1"/>
        </w:rPr>
        <w:t>亲自出席会议者持有的有关证明文件、受托出席会议者出示的委托人的代理投票授权委托证明及有关证明文件符合法律法规、《基金合同》和会议通知的规定；</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2）经核对，</w:t>
      </w:r>
      <w:r w:rsidRPr="00286323">
        <w:rPr>
          <w:rFonts w:asciiTheme="minorEastAsia" w:eastAsiaTheme="minorEastAsia" w:hAnsiTheme="minorEastAsia" w:hint="eastAsia"/>
          <w:bCs/>
          <w:color w:val="000000" w:themeColor="text1"/>
        </w:rPr>
        <w:t>到会者在权益登记日代表的有效的</w:t>
      </w:r>
      <w:r w:rsidRPr="00286323">
        <w:rPr>
          <w:rFonts w:asciiTheme="minorEastAsia" w:eastAsiaTheme="minorEastAsia" w:hAnsiTheme="minorEastAsia" w:hint="eastAsia"/>
          <w:color w:val="000000" w:themeColor="text1"/>
        </w:rPr>
        <w:t>基金份额不少于本基金在权益登记日基金总份额的50%（含50%）。</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（2）通讯开会。通讯开会系指基金份额持有人将其对表决事项的投票以书面形式在表决截至日以前送达至召集人指定的地址。通讯开会应以书面方式进行表决。</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在同时符合以下条件时，通讯开会的方式视为有效：</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1）会议召集人按《基金合同》约定公布会议通知后，在2个工作日内连续公布相关提示性公告；</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w:t>
      </w:r>
      <w:r w:rsidRPr="00286323">
        <w:rPr>
          <w:rFonts w:asciiTheme="minorEastAsia" w:eastAsiaTheme="minorEastAsia" w:hAnsiTheme="minorEastAsia" w:hint="eastAsia"/>
          <w:color w:val="000000" w:themeColor="text1"/>
        </w:rPr>
        <w:lastRenderedPageBreak/>
        <w:t>份额持有人的书面表决意见；基金托管人或基金管理人经通知不参加收取书面表决意见的，不影响表决效力；</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3）本人直接出具书面意见或授权他人代表出具书面意见的，基金份额持有人所持有的基金份额不小于在权益登记日基金总份额的50%（含50%）；</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4）上述第3）项中直接出具书面意见的基金份额持有人或受托代表他人出具书面意见的代理人，同时提交的</w:t>
      </w:r>
      <w:r w:rsidRPr="00286323">
        <w:rPr>
          <w:rFonts w:asciiTheme="minorEastAsia" w:eastAsiaTheme="minorEastAsia" w:hAnsiTheme="minorEastAsia" w:hint="eastAsia"/>
          <w:bCs/>
          <w:color w:val="000000" w:themeColor="text1"/>
        </w:rPr>
        <w:t>有关证明文件、受托出具书面意见的代理人出示的委托人的代理投票授权委托证明及有关证明文件</w:t>
      </w:r>
      <w:r w:rsidRPr="00286323">
        <w:rPr>
          <w:rFonts w:asciiTheme="minorEastAsia" w:eastAsiaTheme="minorEastAsia" w:hAnsiTheme="minorEastAsia" w:hint="eastAsia"/>
          <w:color w:val="000000" w:themeColor="text1"/>
        </w:rPr>
        <w:t>符合法律法规、《基金合同》和会议通知的规定，并与基金注册登记机构记录相符；</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5）会议通知公布前报中国证监会备案。</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color w:val="000000" w:themeColor="text1"/>
        </w:rPr>
        <w:t>（3）</w:t>
      </w:r>
      <w:r w:rsidRPr="00286323">
        <w:rPr>
          <w:rFonts w:asciiTheme="minorEastAsia" w:eastAsiaTheme="minorEastAsia" w:hAnsiTheme="minorEastAsia" w:hint="eastAsia"/>
          <w:bCs/>
          <w:color w:val="000000" w:themeColor="text1"/>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（4）</w:t>
      </w:r>
      <w:r w:rsidRPr="00286323">
        <w:rPr>
          <w:rFonts w:asciiTheme="minorEastAsia" w:eastAsiaTheme="minorEastAsia" w:hAnsiTheme="minorEastAsia" w:hint="eastAsia"/>
          <w:bCs/>
          <w:color w:val="000000" w:themeColor="text1"/>
        </w:rPr>
        <w:t>基金份额持有人授权他人代为出席会议并表决的，授权方式可以采用书面、网络、电话、短信或其他方式，具体方式在会议通知中列明。</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5、议事内容与程序</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（1）议事内容及提案权</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基金份额持有人大会的召集人发出召集会议的通知后，对原有提案的修改应当在基金份额持有人大会召开前30日公告。</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基金份额持有人大会不得对未事先公告的议事内容进行表决。</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（2）议事程序</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1）现场开会</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会议召集人应当制作出席会议人员的签名册。签名册载明参加会议人员姓名（或单位名称）、身份证明文件号码、持有或代表有表决权的基金份额、委托人姓名（或单位名称）和联系方式等事项。</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2）通讯开会</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在通讯开会的情况下，首先由召集人提前30日公布提案，在所通知的表决截止日期后2个工作日内在公证机关监督下由召集人统计全部有效表决，在公证机关监督下形成决议。</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6、表决</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基金份额持有人所持每份基金份额有一票表决权。</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基金份额持有人大会决议分为一般决议和特别决议：</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（1）一般决议，一般决议须经参加大会的基金份额持有人或其代理人所持表决权的50%以上（含50%）通过方为有效；除下列第2项所规定的须以特别决议通过事项以外的其他事项均以一般决议的方式通过。</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基金份额持有人大会采取记名方式进行投票表决。</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基金份额持有人大会的各项提案或同一项提案内并列的各项议题应当分开审议、逐项表决。</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7、计票</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（1）现场开会</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2）监票人应当在基金份额持有人表决后立即进行清点并由大会主持人当场公布计票结果。</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4）计票过程应由公证机关予以公证,基金管理人或基金托管人拒不出席大会的，不影响计票的效力。</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（2）通讯开会</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8、生效与公告</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基金份额持有人大会的决议，召集人应当自通过之日起5日内报中国证监会核准或者备案。</w:t>
      </w:r>
    </w:p>
    <w:p w:rsidR="00A64800" w:rsidRPr="00286323" w:rsidRDefault="00A64800" w:rsidP="00BD2A0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基金份额持有人大会的决议自中国证监会依法核准或者出具无异议意见之日起生效。</w:t>
      </w:r>
    </w:p>
    <w:p w:rsidR="00A64800" w:rsidRPr="00286323" w:rsidRDefault="00BD2A0B"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基金份额持有人大会决议自生效之日起</w:t>
      </w:r>
      <w:r w:rsidRPr="00286323">
        <w:rPr>
          <w:rFonts w:asciiTheme="minorEastAsia" w:eastAsiaTheme="minorEastAsia" w:hAnsiTheme="minorEastAsia"/>
          <w:color w:val="000000" w:themeColor="text1"/>
        </w:rPr>
        <w:t>2</w:t>
      </w:r>
      <w:r w:rsidRPr="00286323">
        <w:rPr>
          <w:rFonts w:asciiTheme="minorEastAsia" w:eastAsiaTheme="minorEastAsia" w:hAnsiTheme="minorEastAsia" w:hint="eastAsia"/>
          <w:color w:val="000000" w:themeColor="text1"/>
        </w:rPr>
        <w:t>日内在指定媒介上公告。</w:t>
      </w:r>
      <w:r w:rsidR="00A64800" w:rsidRPr="00286323">
        <w:rPr>
          <w:rFonts w:asciiTheme="minorEastAsia" w:eastAsiaTheme="minorEastAsia" w:hAnsiTheme="minorEastAsia" w:hint="eastAsia"/>
          <w:color w:val="000000" w:themeColor="text1"/>
        </w:rPr>
        <w:t>如果采用通讯方式进行表决，在公告基金份额持有人大会决议时，必须将公证书全文、公证机构、公证员姓名等一同公告。</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基金管理人、基金托管人和基金份额持有人应当执行生效的基金份额持有人大会的决议。生效的基金份额持有人大会决议对全体基金份额持有人、基金管理人、基金托管人均有约束力。</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color w:val="000000" w:themeColor="text1"/>
        </w:rPr>
        <w:t>9、</w:t>
      </w:r>
      <w:r w:rsidRPr="00286323">
        <w:rPr>
          <w:rFonts w:asciiTheme="minorEastAsia" w:eastAsiaTheme="minorEastAsia" w:hAnsiTheme="minorEastAsia" w:hint="eastAsia"/>
          <w:bCs/>
          <w:color w:val="000000" w:themeColor="text1"/>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A64800" w:rsidRPr="00286323" w:rsidRDefault="00A64800" w:rsidP="005F0E3E">
      <w:pPr>
        <w:pStyle w:val="20"/>
        <w:numPr>
          <w:ilvl w:val="1"/>
          <w:numId w:val="9"/>
        </w:numPr>
        <w:snapToGrid w:val="0"/>
        <w:spacing w:beforeLines="0" w:afterLines="0" w:line="360" w:lineRule="auto"/>
        <w:ind w:leftChars="-67" w:left="-1" w:hangingChars="50" w:hanging="140"/>
        <w:rPr>
          <w:rFonts w:asciiTheme="minorEastAsia" w:eastAsiaTheme="minorEastAsia" w:hAnsiTheme="minorEastAsia" w:cs="Arial"/>
          <w:b w:val="0"/>
          <w:color w:val="000000" w:themeColor="text1"/>
        </w:rPr>
      </w:pPr>
      <w:r w:rsidRPr="00286323">
        <w:rPr>
          <w:rFonts w:asciiTheme="minorEastAsia" w:eastAsiaTheme="minorEastAsia" w:hAnsiTheme="minorEastAsia" w:cs="Arial" w:hint="eastAsia"/>
          <w:b w:val="0"/>
          <w:color w:val="000000" w:themeColor="text1"/>
        </w:rPr>
        <w:t>基金收益分配原则、执行方式</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1、基金收益分配原则</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1）在符合有关基金分红条件的前提下，本基金每年收益分配次数最多为12次，每份基金份额每次分配比例不得低于收益分配基准日每份基金份额可供分配利润的10%，若《基金合同》生效不满3个月可不进行收益分配；</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（2）本基金收益分配方式分两种：现金分红与红利再投资，基金份额持有人可选择现金红利或将现金红利自动转为基金份额进行再投资；若投资者不选择，本基金默认的收益分配方式是现金分红；</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lastRenderedPageBreak/>
        <w:t>（3）基金收益分配后基金份额净值不能低于面值；即基金收益分配基准日的基金份额净值减去每单位基金份额收益分配金额后不能低于面值；</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（4）每一基金份额享有同等分配权；</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（5）法律法规或监管机关另有规定的，从其规定。</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2、收益分配方案</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基金收益分配方案中应载明截止收益分配基准日的可供分配利润、基金收益分配对象、分配时间、分配数额及比例、分配方式等内容。</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3、收益分配方案的确定、公告与实施</w:t>
      </w:r>
    </w:p>
    <w:p w:rsidR="002F2BD2" w:rsidRPr="00286323" w:rsidRDefault="002F2BD2" w:rsidP="006D6AC5">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本基金收益分配方案由基金管理人拟定，并由基金托管人复核，在</w:t>
      </w:r>
      <w:r w:rsidRPr="00286323">
        <w:rPr>
          <w:rFonts w:asciiTheme="minorEastAsia" w:eastAsiaTheme="minorEastAsia" w:hAnsiTheme="minorEastAsia"/>
          <w:bCs/>
          <w:color w:val="000000" w:themeColor="text1"/>
        </w:rPr>
        <w:t>2</w:t>
      </w:r>
      <w:r w:rsidRPr="00286323">
        <w:rPr>
          <w:rFonts w:asciiTheme="minorEastAsia" w:eastAsiaTheme="minorEastAsia" w:hAnsiTheme="minorEastAsia" w:hint="eastAsia"/>
          <w:bCs/>
          <w:color w:val="000000" w:themeColor="text1"/>
        </w:rPr>
        <w:t>日内在指定媒介公告。</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bCs/>
          <w:color w:val="000000" w:themeColor="text1"/>
        </w:rPr>
        <w:t>基金红利发放日距离收益分配基准日（即可供分配利润计算截止日）的时间不得超过15个工作日。</w:t>
      </w:r>
    </w:p>
    <w:p w:rsidR="00A64800" w:rsidRPr="00286323" w:rsidRDefault="00A64800" w:rsidP="005F0E3E">
      <w:pPr>
        <w:pStyle w:val="20"/>
        <w:numPr>
          <w:ilvl w:val="1"/>
          <w:numId w:val="9"/>
        </w:numPr>
        <w:snapToGrid w:val="0"/>
        <w:spacing w:beforeLines="0" w:afterLines="0" w:line="360" w:lineRule="auto"/>
        <w:ind w:leftChars="-67" w:left="-1" w:hangingChars="50" w:hanging="140"/>
        <w:rPr>
          <w:rFonts w:asciiTheme="minorEastAsia" w:eastAsiaTheme="minorEastAsia" w:hAnsiTheme="minorEastAsia" w:cs="Arial"/>
          <w:b w:val="0"/>
          <w:color w:val="000000" w:themeColor="text1"/>
        </w:rPr>
      </w:pPr>
      <w:r w:rsidRPr="00286323">
        <w:rPr>
          <w:rFonts w:asciiTheme="minorEastAsia" w:eastAsiaTheme="minorEastAsia" w:hAnsiTheme="minorEastAsia" w:cs="Arial" w:hint="eastAsia"/>
          <w:b w:val="0"/>
          <w:color w:val="000000" w:themeColor="text1"/>
        </w:rPr>
        <w:t>与基金财产管理、运用有关费用的提取、支付方式与比例</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1、基金费用的种类</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（1）基金管理人的管理费；</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（2）基金托管人的托管费；</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（3）基金合同生效后的标的指数许可使用费；</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（4）《基金合同》生效后与基金相关的信息披露费用；</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（5）《基金合同》生效后与基金相关的会计师费、律师费和诉讼费；</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（6）基金份额持有人大会费用；</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（7）基金的证券交易费用；</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（8）基金的银行汇划费用；</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（9）证券账户开户费用、银行账户维护费用；</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（10）按照国家有关规定和《基金合同》约定，可以在基金财产中列支的其他费用。</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2、基金费用计提方法、计提标准和支付方式</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（1）基金管理人的管理费</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本基金的管理费按前一日基金资产净值的0.8%年费率计提。管理费的计算方法如下：</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H＝E×0.8%÷当年天数</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H为每日应计提的基金管理费</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E为前一日的基金资产净值</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基金管理费每日计算，逐日累计至每月月末，按月支付，由基金管理人向基金托管人发送基金管理费划款指令，基金托管人复核后于次月前3个工作日内从基金财产中一次性支付给基金管理人。若遇法定节假日、公休假等,支付日期顺延。</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（2）基金托管人的托管费</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本基金的托管费按前一日基金资产净值的0.15%的年费率计提。托管费的计算方法如下：</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H＝E×0.15%÷当年天数</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H为每日应计提的基金托管费</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E为前一日的基金资产净值</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基金托管费每日计算，逐日累计至每月月末，按月支付，由基金管理人向基金托管人发送基金托管费划款指令，基金托管人复核后于次月前3个工作日内从基金财产中一次性支取。若遇法定节假日、公休日等,支付日期顺延。</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（3）标的指数许可使用费</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基金合同生效后的标的指数许可使用费按照基金管理人与中证指数有限公司签署的指数使用许可协议的约定从基金财产中向中证指数有限公司支付。标的指数使用费按前一日基金资产净值的0.016%的年费率计提。标的指数许可使用费每日计算，逐日累计。</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计算方法如下：</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H=E×0.016%/当年天数</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H为每日应付的标的指数许可使用费，E为前一日的基金资产净值。</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标的指数许可使用费的收取下限为每季度人民币伍万元（50，000），计费期间不足一季度的，根据实际天数按比例计算。</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中证指数有限公司根据相应指数使用许可协议变更上述标的指数许可使用费费率和计算方法的，本基金按照变更后的费率计提标的指数许可使用费，基金管理人必须依照有关规定最迟于新的费率和计算方式实施日前依照《信息披露办法》的有关规定在</w:t>
      </w:r>
      <w:r w:rsidR="007C4910" w:rsidRPr="00286323">
        <w:rPr>
          <w:rFonts w:asciiTheme="minorEastAsia" w:eastAsiaTheme="minorEastAsia" w:hAnsiTheme="minorEastAsia" w:cs="Arial" w:hint="eastAsia"/>
          <w:color w:val="000000" w:themeColor="text1"/>
        </w:rPr>
        <w:t>指定媒介</w:t>
      </w:r>
      <w:r w:rsidRPr="00286323">
        <w:rPr>
          <w:rFonts w:asciiTheme="minorEastAsia" w:eastAsiaTheme="minorEastAsia" w:hAnsiTheme="minorEastAsia" w:hint="eastAsia"/>
          <w:color w:val="000000" w:themeColor="text1"/>
        </w:rPr>
        <w:t>上公告。</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如果中证指数有限公司根据指数使用许可协议的约定要求变更标的指数许可使用费费率和计算方法，应按照变更后的标的指数许可使用费从基金财产中支付给指数许可方。此项变更无需召开基金份额持有人大会。</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上述“1、基金费用的种类中第（4）－（9）项费用”，根据有关法规及相应协议规定，按费用实际支出金额列入当期费用，由基金托管人从基金财产中支付。</w:t>
      </w:r>
    </w:p>
    <w:p w:rsidR="00A64800" w:rsidRPr="00286323" w:rsidRDefault="00A64800" w:rsidP="005F0E3E">
      <w:pPr>
        <w:pStyle w:val="20"/>
        <w:numPr>
          <w:ilvl w:val="1"/>
          <w:numId w:val="9"/>
        </w:numPr>
        <w:snapToGrid w:val="0"/>
        <w:spacing w:beforeLines="0" w:afterLines="0" w:line="360" w:lineRule="auto"/>
        <w:ind w:leftChars="-67" w:left="-1" w:hangingChars="50" w:hanging="140"/>
        <w:rPr>
          <w:rFonts w:asciiTheme="minorEastAsia" w:eastAsiaTheme="minorEastAsia" w:hAnsiTheme="minorEastAsia" w:cs="Arial"/>
          <w:b w:val="0"/>
          <w:color w:val="000000" w:themeColor="text1"/>
        </w:rPr>
      </w:pPr>
      <w:r w:rsidRPr="00286323">
        <w:rPr>
          <w:rFonts w:asciiTheme="minorEastAsia" w:eastAsiaTheme="minorEastAsia" w:hAnsiTheme="minorEastAsia" w:cs="Arial" w:hint="eastAsia"/>
          <w:b w:val="0"/>
          <w:color w:val="000000" w:themeColor="text1"/>
        </w:rPr>
        <w:t>基金财产的投资范围和投资限制</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1、投资范围</w:t>
      </w:r>
    </w:p>
    <w:p w:rsidR="00A64800" w:rsidRPr="00286323" w:rsidRDefault="00A64800" w:rsidP="00F71D3B">
      <w:pPr>
        <w:snapToGrid w:val="0"/>
        <w:spacing w:line="360" w:lineRule="auto"/>
        <w:ind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lastRenderedPageBreak/>
        <w:t>本基金的投资范围为具有良好流动性的金融工具，包括国内依法发行上市的股票（含中小板、创业板及其他经中国证监会核准</w:t>
      </w:r>
      <w:r w:rsidR="00F76EEB" w:rsidRPr="00286323">
        <w:rPr>
          <w:rFonts w:asciiTheme="minorEastAsia" w:eastAsiaTheme="minorEastAsia" w:hAnsiTheme="minorEastAsia" w:hint="eastAsia"/>
          <w:bCs/>
          <w:color w:val="000000" w:themeColor="text1"/>
        </w:rPr>
        <w:t>或注册上市的股票、存托凭证</w:t>
      </w:r>
      <w:r w:rsidRPr="00286323">
        <w:rPr>
          <w:rFonts w:asciiTheme="minorEastAsia" w:eastAsiaTheme="minorEastAsia" w:hAnsiTheme="minorEastAsia" w:hint="eastAsia"/>
          <w:bCs/>
          <w:color w:val="000000" w:themeColor="text1"/>
        </w:rPr>
        <w:t>）、权证等权益类品种，国债、央行票据、金融债、企业债、公司债、中期票据、短期融资券、可转换债券（含分离型可转换债券）、资产支持证券、债券回购、银行存款等固定收益类品种，股指期货以及法律法规或中国证监会允许基金投资的其他金融工具，但须符合中国证监会相关规定。</w:t>
      </w:r>
    </w:p>
    <w:p w:rsidR="00A64800" w:rsidRPr="00286323" w:rsidRDefault="00A64800" w:rsidP="00F71D3B">
      <w:pPr>
        <w:snapToGrid w:val="0"/>
        <w:spacing w:line="360" w:lineRule="auto"/>
        <w:ind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如法律法规或监管机构以后允许基金投资其他品种，基金管理人在履行适当程序后，可以将其纳入投资范围。</w:t>
      </w:r>
    </w:p>
    <w:p w:rsidR="00A64800" w:rsidRPr="00286323" w:rsidRDefault="00A64800" w:rsidP="00F71D3B">
      <w:pPr>
        <w:snapToGrid w:val="0"/>
        <w:spacing w:line="360" w:lineRule="auto"/>
        <w:ind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基金的投资组合比例为：</w:t>
      </w:r>
    </w:p>
    <w:p w:rsidR="00A64800" w:rsidRPr="00286323" w:rsidRDefault="00A64800" w:rsidP="00F71D3B">
      <w:pPr>
        <w:snapToGrid w:val="0"/>
        <w:spacing w:line="360" w:lineRule="auto"/>
        <w:ind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color w:val="000000" w:themeColor="text1"/>
        </w:rPr>
        <w:t>股票资产投资比例不低于基金资产的90%，</w:t>
      </w:r>
      <w:r w:rsidRPr="00286323">
        <w:rPr>
          <w:rFonts w:asciiTheme="minorEastAsia" w:eastAsiaTheme="minorEastAsia" w:hAnsiTheme="minorEastAsia" w:hint="eastAsia"/>
          <w:bCs/>
          <w:color w:val="000000" w:themeColor="text1"/>
        </w:rPr>
        <w:t>其中投资于标的指数成份股和备选成份股的资产不低于股票资产的</w:t>
      </w:r>
      <w:r w:rsidRPr="00286323">
        <w:rPr>
          <w:rFonts w:asciiTheme="minorEastAsia" w:eastAsiaTheme="minorEastAsia" w:hAnsiTheme="minorEastAsia"/>
          <w:bCs/>
          <w:color w:val="000000" w:themeColor="text1"/>
        </w:rPr>
        <w:t>80%</w:t>
      </w:r>
      <w:r w:rsidRPr="00286323">
        <w:rPr>
          <w:rFonts w:asciiTheme="minorEastAsia" w:eastAsiaTheme="minorEastAsia" w:hAnsiTheme="minorEastAsia" w:hint="eastAsia"/>
          <w:bCs/>
          <w:color w:val="000000" w:themeColor="text1"/>
        </w:rPr>
        <w:t>；现金或者到期日在一年以内的政府债券不低于基金资产净值的</w:t>
      </w:r>
      <w:r w:rsidRPr="00286323">
        <w:rPr>
          <w:rFonts w:asciiTheme="minorEastAsia" w:eastAsiaTheme="minorEastAsia" w:hAnsiTheme="minorEastAsia"/>
          <w:bCs/>
          <w:color w:val="000000" w:themeColor="text1"/>
        </w:rPr>
        <w:t>5%</w:t>
      </w:r>
      <w:r w:rsidR="00AA15B0" w:rsidRPr="00286323">
        <w:rPr>
          <w:rFonts w:asciiTheme="minorEastAsia" w:eastAsiaTheme="minorEastAsia" w:hAnsiTheme="minorEastAsia" w:hint="eastAsia"/>
          <w:bCs/>
          <w:color w:val="000000" w:themeColor="text1"/>
        </w:rPr>
        <w:t>，现金不包括结算备付金、存出保证金、应收申购款等</w:t>
      </w:r>
      <w:r w:rsidRPr="00286323">
        <w:rPr>
          <w:rFonts w:asciiTheme="minorEastAsia" w:eastAsiaTheme="minorEastAsia" w:hAnsiTheme="minorEastAsia" w:hint="eastAsia"/>
          <w:bCs/>
          <w:color w:val="000000" w:themeColor="text1"/>
        </w:rPr>
        <w:t>。</w:t>
      </w:r>
    </w:p>
    <w:p w:rsidR="00A64800" w:rsidRPr="00286323" w:rsidRDefault="00A64800" w:rsidP="00F71D3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bCs/>
          <w:color w:val="000000" w:themeColor="text1"/>
        </w:rPr>
        <w:t>若法律法规的相关规定发生变更或监管机构允许，本基金管理人在履行适当程序后，可对上述资产配置比例进行调整。</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2、组合限制</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基金的投资组合应遵循以下限制：</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（1）本基金股票资产占基金资产净值的比例为90%-95%，</w:t>
      </w:r>
      <w:r w:rsidRPr="00286323">
        <w:rPr>
          <w:rFonts w:asciiTheme="minorEastAsia" w:eastAsiaTheme="minorEastAsia" w:hAnsiTheme="minorEastAsia" w:hint="eastAsia"/>
          <w:bCs/>
          <w:color w:val="000000" w:themeColor="text1"/>
        </w:rPr>
        <w:t>其中投资于标的指数成份股和备选成份股的资产不低于股票资产的</w:t>
      </w:r>
      <w:r w:rsidRPr="00286323">
        <w:rPr>
          <w:rFonts w:asciiTheme="minorEastAsia" w:eastAsiaTheme="minorEastAsia" w:hAnsiTheme="minorEastAsia"/>
          <w:bCs/>
          <w:color w:val="000000" w:themeColor="text1"/>
        </w:rPr>
        <w:t>80%</w:t>
      </w:r>
      <w:r w:rsidRPr="00286323">
        <w:rPr>
          <w:rFonts w:asciiTheme="minorEastAsia" w:eastAsiaTheme="minorEastAsia" w:hAnsiTheme="minorEastAsia" w:hint="eastAsia"/>
          <w:color w:val="000000" w:themeColor="text1"/>
        </w:rPr>
        <w:t>；</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（2）本基金持有一家上市公司的股票，其市值不超过基金资产净值的10％；</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（3）本基金管理人管理的全部基金持有一家公司发行的证券，不超过该证券的10％；</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（4）本基金持有的全部权证，其市值不得超过基金资产净值的3％；</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（5）本基金管理人管理的全部基金持有的同一权证，不得超过该权证的10％；</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（6）本基金在任何交易日买入权证的总金额，不得超过上一交易日基金资产净值的0.5％；</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（7）本基金投资于同一原始权益人的各类资产支持证券的比例，不得超过基金资产净值的10％；</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（8）本基金持有的全部资产支持证券，其市值不得超过基金资产净值的20％；</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（9）本基金持有的同一(指同一信用级别)资产支持证券的比例，不得超过该资产支持证券规模的10％；</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（10）本基金管理人管理的全部基金投资于同一原始权益人的各类资产支持证券，不得超过其各类资产支持证券合计规模的10％；</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（11）本基金应投资于信用级别评级为BBB以上(含BBB)的资产支持证券。基金持有资产支持证券期间，如果其信用等级下降、不再符合投资标准，应在评级报告发布之日起3个月内予以全部卖出；</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（12）基金财产参与股票发行申购，本基金所申报的金额不超过本基金的总资产，本基金所申报的股票数量不超过拟发行股票公司本次发行股票的总量；</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（13）本基金进入全国银行间同业市场进行债券回购的资金余额不得超过基金资产净值的40%；债券回购最长期限为1年，债券回购到期后不得展期；</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14）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（15）本基金投资于股指期货，还应遵循如下投资组合限制：</w:t>
      </w:r>
    </w:p>
    <w:p w:rsidR="00A64800" w:rsidRPr="00286323" w:rsidRDefault="00B73A84"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w:t>
      </w:r>
      <w:r w:rsidR="00A64800" w:rsidRPr="00286323">
        <w:rPr>
          <w:rFonts w:asciiTheme="minorEastAsia" w:eastAsiaTheme="minorEastAsia" w:hAnsiTheme="minorEastAsia" w:hint="eastAsia"/>
          <w:color w:val="000000" w:themeColor="text1"/>
        </w:rPr>
        <w:t>在任何交易日日终，本基金持有的买入股指期货合约价值不超过基金资产净值的10%，卖出股指期货合约价值不超过基金持有的股票总市值的20%。</w:t>
      </w:r>
    </w:p>
    <w:p w:rsidR="00A64800" w:rsidRPr="00286323" w:rsidRDefault="00B73A84"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w:t>
      </w:r>
      <w:r w:rsidR="00A64800" w:rsidRPr="00286323">
        <w:rPr>
          <w:rFonts w:asciiTheme="minorEastAsia" w:eastAsiaTheme="minorEastAsia" w:hAnsiTheme="minorEastAsia" w:hint="eastAsia"/>
          <w:color w:val="000000" w:themeColor="text1"/>
        </w:rPr>
        <w:t>在任何交易日日终，本基金持有的买入期货合约价值与有价证券市值之和不得超过基金资产净值的95%。</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其中，有价证券指股票、债券（不含到期日在一年以内的政府债券）、权证、资产支持证券、买入返售金融资产（不含质押式回购）等。</w:t>
      </w:r>
    </w:p>
    <w:p w:rsidR="00A64800" w:rsidRPr="00286323" w:rsidRDefault="00B73A84"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w:t>
      </w:r>
      <w:r w:rsidR="00A64800" w:rsidRPr="00286323">
        <w:rPr>
          <w:rFonts w:asciiTheme="minorEastAsia" w:eastAsiaTheme="minorEastAsia" w:hAnsiTheme="minorEastAsia" w:hint="eastAsia"/>
          <w:color w:val="000000" w:themeColor="text1"/>
        </w:rPr>
        <w:t>本基金所持有的股票市值和买入、卖出股指期货合约价值，合计（轧差计算）占基金资产净值的比例范围为90%-95%。</w:t>
      </w:r>
    </w:p>
    <w:p w:rsidR="00A64800" w:rsidRPr="00286323" w:rsidRDefault="00B73A84"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4）</w:t>
      </w:r>
      <w:r w:rsidR="00A64800" w:rsidRPr="00286323">
        <w:rPr>
          <w:rFonts w:asciiTheme="minorEastAsia" w:eastAsiaTheme="minorEastAsia" w:hAnsiTheme="minorEastAsia" w:hint="eastAsia"/>
          <w:color w:val="000000" w:themeColor="text1"/>
        </w:rPr>
        <w:t>本基金在任何交易日内交易（不包括平仓）的股指期货合约的成交金额不得超过上一交易日基金资产净值的20%。</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本基金管理人应当按照中国金融期货交易所的要求向其报告所交易和持有的卖出期货合约情况、交易目的及对应的证券资产情况等。</w:t>
      </w:r>
    </w:p>
    <w:p w:rsidR="00AA15B0" w:rsidRPr="00286323" w:rsidRDefault="00AA15B0" w:rsidP="00AA15B0">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（16）本基金每个交易日日终在扣除股指期货合约需缴纳的交易保证金后，应当保持不低于基金资产净值5%的现金或到期日在一年以内的政府债券，现金不包括结算备付金、存出保证金、应收申购款等。</w:t>
      </w:r>
    </w:p>
    <w:p w:rsidR="00AA15B0" w:rsidRPr="00286323" w:rsidRDefault="00AA15B0" w:rsidP="00AA15B0">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17）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AA15B0" w:rsidRPr="00286323" w:rsidRDefault="00AA15B0" w:rsidP="00AA15B0">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（18）本基金主动投资于流动性受限资产的市值合计不得超过本基金资产净值的15%。</w:t>
      </w:r>
    </w:p>
    <w:p w:rsidR="00AA15B0" w:rsidRPr="00286323" w:rsidRDefault="00AA15B0" w:rsidP="00AA15B0">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因证券市场波动、上市公司股票停牌、基金规模变动等基金管理人之外的因素致使基金不符合前款所规定比例限制的，基金管理人不得主动新增流动性受限资产的投资。</w:t>
      </w:r>
    </w:p>
    <w:p w:rsidR="00AA15B0" w:rsidRPr="00286323" w:rsidRDefault="00AA15B0" w:rsidP="00AA15B0">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（19）本基金与私募类证券资管产品及中国证监会认定的其他主体为交易对手开展逆回购交易的，可接受质押品的资质要求应当与基金合同约定的投资范围保持一致。</w:t>
      </w:r>
    </w:p>
    <w:p w:rsidR="00F76EEB" w:rsidRPr="00286323" w:rsidRDefault="00AA15B0" w:rsidP="00F76EE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hint="eastAsia"/>
          <w:color w:val="000000" w:themeColor="text1"/>
        </w:rPr>
        <w:t>（20）</w:t>
      </w:r>
      <w:r w:rsidR="00F76EEB" w:rsidRPr="00286323">
        <w:rPr>
          <w:rFonts w:asciiTheme="minorEastAsia" w:eastAsiaTheme="minorEastAsia" w:hAnsiTheme="minorEastAsia" w:hint="eastAsia"/>
          <w:bCs/>
          <w:color w:val="000000" w:themeColor="text1"/>
        </w:rPr>
        <w:t>本基金投资存托凭证的比例限制依照境内上市交易的股票执行，与境内上市交易的股票合并计算。</w:t>
      </w:r>
    </w:p>
    <w:p w:rsidR="00AA15B0" w:rsidRPr="00286323" w:rsidRDefault="00F76EEB" w:rsidP="00F76EE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bCs/>
          <w:color w:val="000000" w:themeColor="text1"/>
        </w:rPr>
        <w:t>（21）</w:t>
      </w:r>
      <w:r w:rsidR="00AA15B0" w:rsidRPr="00286323">
        <w:rPr>
          <w:rFonts w:asciiTheme="minorEastAsia" w:eastAsiaTheme="minorEastAsia" w:hAnsiTheme="minorEastAsia" w:hint="eastAsia"/>
          <w:color w:val="000000" w:themeColor="text1"/>
        </w:rPr>
        <w:t>法律法规及中国证监会规定的及《基金合同》约定的其他投资比例限制。</w:t>
      </w:r>
    </w:p>
    <w:p w:rsidR="00A64800" w:rsidRPr="00286323" w:rsidRDefault="00AA15B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除上述（11）、（12）、（16）、（18）、（19）以外，</w:t>
      </w:r>
      <w:r w:rsidR="00A64800" w:rsidRPr="00286323">
        <w:rPr>
          <w:rFonts w:asciiTheme="minorEastAsia" w:eastAsiaTheme="minorEastAsia" w:hAnsiTheme="minorEastAsia" w:hint="eastAsia"/>
          <w:color w:val="000000" w:themeColor="text1"/>
        </w:rPr>
        <w:t>因证券、期货市场波动、上市公司合并、基金规模变动、股权分置改革中支付对价等基金管理人之外的因素致使基金投资比例不符合上述规定投资比例的，基金管理人应当在10个交易日内进行调整。</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基金管理人应当自基金合同生效之日起6个月内使基金的投资组合比例符合基金合同的有关约定。基金托管人对基金的投资的监督与检查自基金合同生效之日起开始。</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法律法规或监管部门取消上述限制，如适用于本基金，基金管理人在履行适当程序后，则本基金投资不再受相关限制。</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3、禁止行为</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为维护基金份额持有人的合法权益，基金财产不得用于下列投资或者活动：</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（1）承销证券；</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（2）向他人贷款或者提供担保；</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（3）从事承担无限责任的投资；</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（4）买卖其他基金份额，但是国务院另有规定的除外；</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（5）向其基金管理人、基金托管人出资或者买卖其基金管理人、基金托管人发行的股票或者债券；</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（6）买卖与其基金管理人、基金托管人有控股关系的股东或者与其基金管理人、基金托管人有其他重大利害关系的公司发行的证券或者承销期内承销的证券；</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（7）从事内幕交易、操纵证券交易价格及其他不正当的证券交易活动；</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（8）依照法律法规有关规定，由中国证监会规定禁止的其他活动。</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若将来法律法规或中国证监会的相关规定发生修改或变更，致使前述约定的投资禁止行为和投资组合比例限制修改或取消，如适用于本基金，则本基金可相应调整禁止行为和投资限制规定。</w:t>
      </w:r>
    </w:p>
    <w:p w:rsidR="00A64800" w:rsidRPr="00286323" w:rsidRDefault="00A64800" w:rsidP="005F0E3E">
      <w:pPr>
        <w:pStyle w:val="20"/>
        <w:numPr>
          <w:ilvl w:val="1"/>
          <w:numId w:val="9"/>
        </w:numPr>
        <w:snapToGrid w:val="0"/>
        <w:spacing w:beforeLines="0" w:afterLines="0" w:line="360" w:lineRule="auto"/>
        <w:ind w:leftChars="-67" w:left="-1" w:hangingChars="50" w:hanging="140"/>
        <w:rPr>
          <w:rFonts w:asciiTheme="minorEastAsia" w:eastAsiaTheme="minorEastAsia" w:hAnsiTheme="minorEastAsia" w:cs="Arial"/>
          <w:b w:val="0"/>
          <w:color w:val="000000" w:themeColor="text1"/>
        </w:rPr>
      </w:pPr>
      <w:r w:rsidRPr="00286323">
        <w:rPr>
          <w:rFonts w:asciiTheme="minorEastAsia" w:eastAsiaTheme="minorEastAsia" w:hAnsiTheme="minorEastAsia" w:cs="Arial" w:hint="eastAsia"/>
          <w:b w:val="0"/>
          <w:color w:val="000000" w:themeColor="text1"/>
        </w:rPr>
        <w:t>基金资产净值的计算方法和公告方式</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1、估值日</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本基金的估值日为本基金相关的证券交易场所的交易日以及国家法律法规规定需要对外披露基金净值的非交易日。</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2、估值对象</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基金所拥有的股票、权证、债券和银行存款本息、应收款项、其它投资等资产及负债。</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3、估值方法</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（1）证券交易所上市的有价证券的估值</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4）交易所上市不存在活跃市场的有价证券，采用估值技术确定公允价值。交易所上市的资产支持证券，采用估值技术确定公允价值，在估值技术难以可靠计量公允价值的情况下，按成本估值。</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（2）处于未上市期间的有价证券应区分如下情况处理：</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1）送股、转增股、配股和公开增发的新股，按估值日在证券交易所挂牌的同一股票的估值方法估值；该日无交易的，以最近一日的市价（收盘价）估值；</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2）首次公开发行未上市的股票、债券和权证，采用估值技术确定公允价值，在估值技术难以可靠计量公允价值的情况下，按成本估值；</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3）首次公开发行有明确锁定期的股票，同一股票在交易所上市后，按交易所上市的同一股票的估值方法估值；非公开发行有明确锁定期的股票，按监管机构或行业协会有关规定确定公允价值。</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（3）全国银行间债券市场交易的债券、资产支持证券等固定收益品种，采用估值技术确定公允价值。</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（4）同一债券同时在两个或两个以上市场交易的，按债券所处的市场分别估值。</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（5）因持有股票而享有的配股权，以及停止交易、但未行权的权证，采用估值技术确定公允价值。</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（6）股指期货合约按照估值当日的结算价进行估值。估值当日无结算价，且最近交易日后经济环境未发生重大变化的，采用最近交易日结算价估值。</w:t>
      </w:r>
    </w:p>
    <w:p w:rsidR="00F76EEB" w:rsidRPr="00286323" w:rsidRDefault="00A64800" w:rsidP="00F76EE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（7）</w:t>
      </w:r>
      <w:r w:rsidR="00F76EEB" w:rsidRPr="00286323">
        <w:rPr>
          <w:rFonts w:asciiTheme="minorEastAsia" w:eastAsiaTheme="minorEastAsia" w:hAnsiTheme="minorEastAsia" w:hint="eastAsia"/>
          <w:color w:val="000000" w:themeColor="text1"/>
        </w:rPr>
        <w:t>本基金投资存托凭证的估值核算，依照境内上市交易的股票执行。</w:t>
      </w:r>
    </w:p>
    <w:p w:rsidR="00A64800" w:rsidRPr="00286323" w:rsidRDefault="00F76EEB" w:rsidP="00F76EE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（8）</w:t>
      </w:r>
      <w:r w:rsidR="00A64800" w:rsidRPr="00286323">
        <w:rPr>
          <w:rFonts w:asciiTheme="minorEastAsia" w:eastAsiaTheme="minorEastAsia" w:hAnsiTheme="minorEastAsia" w:hint="eastAsia"/>
          <w:color w:val="000000" w:themeColor="text1"/>
        </w:rPr>
        <w:t>如有确凿证据表明按上述方法进行估值不能客观反映其公允价值的，基金管理人可根据具体情况与基金托管人商定后，按最能反映公允价值的价格估值。</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w:t>
      </w:r>
      <w:r w:rsidR="00F76EEB" w:rsidRPr="00286323">
        <w:rPr>
          <w:rFonts w:asciiTheme="minorEastAsia" w:eastAsiaTheme="minorEastAsia" w:hAnsiTheme="minorEastAsia" w:hint="eastAsia"/>
          <w:color w:val="000000" w:themeColor="text1"/>
        </w:rPr>
        <w:t>9</w:t>
      </w:r>
      <w:r w:rsidRPr="00286323">
        <w:rPr>
          <w:rFonts w:asciiTheme="minorEastAsia" w:eastAsiaTheme="minorEastAsia" w:hAnsiTheme="minorEastAsia" w:hint="eastAsia"/>
          <w:color w:val="000000" w:themeColor="text1"/>
        </w:rPr>
        <w:t>）相关法律法规以及监管部门有强制规定的，从其规定。如有新增事项，按国家最新规定估值。</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如基金管理人或基金托管人发现基金估值违反基金合同订明的估值方法、程序及相关法律法规的规定或者未能充分维护基金份额持有人利益时，应立即通知对方，共同查明原因，双方协商解决。</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4、估值程序</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（1）基金份额净值是按照每个工作日闭市后，基金资产净值除以当日基金份额的余额数量计算，精确到0.0001元，小数点后第五位四舍五入。国家另有规定的，从其规定。</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每个工作日计算基金资产净值及基金份额净值，并按规定公告。</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5、估值错误的处理</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基金管理人和基金托管人将采取必要、适当、合理的措施确保基金资产估值的准确性、及时性。当基金份额净值小数点后4位以内(含第4位)发生估值错误时，视为基金份额净值错误。</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基金合同的当事人应按照以下约定处理：</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（1）估值错误类型</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本基金运作过程中，如果由于基金管理人或基金托管人、或注册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上述估值错误的主要类型包括但不限于：资料申报差错、数据传输差错、数据计算差错、系统故障差错、下达指令差错等。</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（2）估值错误处理原则</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2）估值错误的责任方对有关当事人的直接损失负责，不对间接损失负责，并且仅对估值错误的有关直接当事人负责，不对第三方负责。</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4）估值错误调整采用尽量恢复至假设未发生估值错误的正确情形的方式。</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（3）估值错误处理程序</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估值错误被发现后，有关的当事人应当及时进行处理，处理的程序如下：</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1）查明估值错误发生的原因，列明所有的当事人，并根据估值错误发生的原因确定估值错误的责任方；</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2）根据估值错误处理原则或当事人协商的方法对因估值错误造成的损失进行评估；</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3）根据估值错误处理原则或当事人协商的方法由估值错误的责任方进行更正和赔偿损失；</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4）根据估值错误处理的方法，需要修改基金注册登记机构交易数据的，由基金注册登记机构进行更正，并就估值错误的更正向有关当事人进行确认。</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（4）基金份额净值估值错误处理的方法如下：</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1）基金份额净值计算出现错误时，基金管理人应当立即予以纠正，通报基金托管人，并采取合理的措施防止损失进一步扩大。</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2）错误偏差达到基金份额净值的0.25%时，基金管理人应当通报基金托管人并报中国证监会备案；错误偏差达到基金份额净值的0.5%时，基金管理人应当公告。</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3）前述内容如法律法规或监管机关另有规定的，从其规定处理。</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6、暂停估值的情形</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（1）基金投资所涉及的证券交易市场遇法定节假日或因其他原因暂停营业时；</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（2）因不可抗力致使基金管理人、基金托管人无法准确评估基金资产价值时；</w:t>
      </w:r>
    </w:p>
    <w:p w:rsidR="00AA15B0" w:rsidRPr="00286323" w:rsidRDefault="00AA15B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（3）当前一估值日基金资产净值50%以上的资产出现无可参考的活跃市场价格且采用估值技术仍导致公允价值存在重大不确定性时，经与基金托管人协商一致的；</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w:t>
      </w:r>
      <w:r w:rsidR="00AA15B0" w:rsidRPr="00286323">
        <w:rPr>
          <w:rFonts w:asciiTheme="minorEastAsia" w:eastAsiaTheme="minorEastAsia" w:hAnsiTheme="minorEastAsia" w:hint="eastAsia"/>
          <w:color w:val="000000" w:themeColor="text1"/>
        </w:rPr>
        <w:t>4</w:t>
      </w:r>
      <w:r w:rsidRPr="00286323">
        <w:rPr>
          <w:rFonts w:asciiTheme="minorEastAsia" w:eastAsiaTheme="minorEastAsia" w:hAnsiTheme="minorEastAsia" w:hint="eastAsia"/>
          <w:color w:val="000000" w:themeColor="text1"/>
        </w:rPr>
        <w:t>）中国证监会和基金合同认定的其它情形。</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7、基金净值的确认</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8、特殊情况的处理</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（1）基金管理人或基金托管人按估值方法的第</w:t>
      </w:r>
      <w:r w:rsidR="00F76EEB" w:rsidRPr="00286323">
        <w:rPr>
          <w:rFonts w:asciiTheme="minorEastAsia" w:eastAsiaTheme="minorEastAsia" w:hAnsiTheme="minorEastAsia" w:hint="eastAsia"/>
          <w:color w:val="000000" w:themeColor="text1"/>
        </w:rPr>
        <w:t>8</w:t>
      </w:r>
      <w:r w:rsidRPr="00286323">
        <w:rPr>
          <w:rFonts w:asciiTheme="minorEastAsia" w:eastAsiaTheme="minorEastAsia" w:hAnsiTheme="minorEastAsia" w:hint="eastAsia"/>
          <w:color w:val="000000" w:themeColor="text1"/>
        </w:rPr>
        <w:t>项进行估值时，所造成的误差不作为基金资产估值错误处理。</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由于不可抗力原因，或由于证券交易所及注册登记机构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应当积极采取必要的措施消除由此造成的影响。</w:t>
      </w:r>
    </w:p>
    <w:p w:rsidR="00A64800" w:rsidRPr="00286323" w:rsidRDefault="00A64800" w:rsidP="005F0E3E">
      <w:pPr>
        <w:pStyle w:val="20"/>
        <w:numPr>
          <w:ilvl w:val="1"/>
          <w:numId w:val="9"/>
        </w:numPr>
        <w:snapToGrid w:val="0"/>
        <w:spacing w:beforeLines="0" w:afterLines="0" w:line="360" w:lineRule="auto"/>
        <w:ind w:leftChars="-67" w:left="-1" w:hangingChars="50" w:hanging="140"/>
        <w:rPr>
          <w:rFonts w:asciiTheme="minorEastAsia" w:eastAsiaTheme="minorEastAsia" w:hAnsiTheme="minorEastAsia" w:cs="Arial"/>
          <w:b w:val="0"/>
          <w:color w:val="000000" w:themeColor="text1"/>
        </w:rPr>
      </w:pPr>
      <w:r w:rsidRPr="00286323">
        <w:rPr>
          <w:rFonts w:asciiTheme="minorEastAsia" w:eastAsiaTheme="minorEastAsia" w:hAnsiTheme="minorEastAsia" w:cs="Arial" w:hint="eastAsia"/>
          <w:b w:val="0"/>
          <w:color w:val="000000" w:themeColor="text1"/>
        </w:rPr>
        <w:t>基金合同解除和终止的事由、程序以及基金财产清算方式</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1、《基金合同》的终止事由</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有下列情形之一的，《基金合同》应当终止：</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（1）基金份额持有人大会决定终止的；</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（2）基金管理人、基金托管人职责终止，在6个月内没有新基金管理人、新基金托管人承接的；</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（3）《基金合同》约定的其他情形；</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（4）相关法律法规和中国证监会规定的其他情况。</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2、基金财产的清算</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（1）基金财产清算小组：自出现《基金合同》终止事由之日起30个工作日内成立清算小组，基金管理人组织基金财产清算小组并在中国证监会的监督下进行基金清算。</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lastRenderedPageBreak/>
        <w:t>（2）基金财产清算小组组成：基金财产清算小组成员由基金管理人、基金托管人、具有从事证券相关业务资格的注册会计师、律师以及中国证监会指定的人员组成。基金财产清算小组可以聘用必要的工作人员。</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（3）基金财产清算小组职责：基金财产清算小组负责基金财产的保管、清理、估价、变现和分配。基金财产清算小组可以依法进行必要的民事活动。</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（4）基金财产清算程序：</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1）《基金合同》终止情形出现时，由基金财产清算小组统一接管基金；</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2）对基金财产和债权债务进行清理和确认；</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3）对基金财产进行估值和变现；</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4）制作清算报告；</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5）聘请会计师事务所对清算报告进行外部审计，聘请律师事务所对清算报告出具法律意见书；</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6）将清算报告报中国证监会备案并公告；</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7）对基金财产进行分配。</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（5）基金财产清算的期限为6个月。</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3、清算费用</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清算费用是指基金财产清算小组在进行基金清算过程中发生的所有合理费用，清算费用由基金财产清算小组优先从基金财产中支付。</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4、基金财产清算剩余资产的分配</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依据基金财产清算的分配方案，将基金财产清算后的全部剩余资产扣除基金财产清算费用、交纳所欠税款并清偿基金债务后，按基金份额持有人持有的基金份额比例进行分配。</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5、基金财产清算的公告</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6、基金财产清算账册及文件的保存</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基金财产清算账册及有关文件由基金托管人保存15年以上。</w:t>
      </w:r>
    </w:p>
    <w:p w:rsidR="00A64800" w:rsidRPr="00286323" w:rsidRDefault="00A64800" w:rsidP="005F0E3E">
      <w:pPr>
        <w:pStyle w:val="20"/>
        <w:numPr>
          <w:ilvl w:val="1"/>
          <w:numId w:val="9"/>
        </w:numPr>
        <w:snapToGrid w:val="0"/>
        <w:spacing w:beforeLines="0" w:afterLines="0" w:line="360" w:lineRule="auto"/>
        <w:ind w:leftChars="-67" w:left="-1" w:hangingChars="50" w:hanging="140"/>
        <w:rPr>
          <w:rFonts w:asciiTheme="minorEastAsia" w:eastAsiaTheme="minorEastAsia" w:hAnsiTheme="minorEastAsia" w:cs="Arial"/>
          <w:b w:val="0"/>
          <w:color w:val="000000" w:themeColor="text1"/>
        </w:rPr>
      </w:pPr>
      <w:r w:rsidRPr="00286323">
        <w:rPr>
          <w:rFonts w:asciiTheme="minorEastAsia" w:eastAsiaTheme="minorEastAsia" w:hAnsiTheme="minorEastAsia" w:cs="Arial" w:hint="eastAsia"/>
          <w:b w:val="0"/>
          <w:color w:val="000000" w:themeColor="text1"/>
        </w:rPr>
        <w:t>争议解决方式</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w:t>
      </w:r>
      <w:r w:rsidRPr="00286323">
        <w:rPr>
          <w:rFonts w:asciiTheme="minorEastAsia" w:eastAsiaTheme="minorEastAsia" w:hAnsiTheme="minorEastAsia" w:hint="eastAsia"/>
          <w:color w:val="000000" w:themeColor="text1"/>
        </w:rPr>
        <w:lastRenderedPageBreak/>
        <w:t>的仲裁规则进行仲裁。仲裁地点为北京市。仲裁裁决是终局的，对各方当事人均有约束力，仲裁费用由败诉方承担。</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争议处理期间，基金合同当事人应恪守各自的职责，继续忠实、勤勉、尽责地履行基金合同规定的义务，维护基金份额持有人的合法权益。</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《基金合同》受中国法律管辖。</w:t>
      </w:r>
    </w:p>
    <w:p w:rsidR="00A64800" w:rsidRPr="00286323" w:rsidRDefault="00A64800" w:rsidP="00F71D3B">
      <w:pPr>
        <w:pStyle w:val="20"/>
        <w:numPr>
          <w:ilvl w:val="1"/>
          <w:numId w:val="9"/>
        </w:numPr>
        <w:snapToGrid w:val="0"/>
        <w:spacing w:beforeLines="0" w:afterLines="0" w:line="360" w:lineRule="auto"/>
        <w:ind w:left="0" w:firstLineChars="0" w:firstLine="0"/>
        <w:rPr>
          <w:rFonts w:asciiTheme="minorEastAsia" w:eastAsiaTheme="minorEastAsia" w:hAnsiTheme="minorEastAsia" w:cs="Arial"/>
          <w:b w:val="0"/>
          <w:color w:val="000000" w:themeColor="text1"/>
        </w:rPr>
      </w:pPr>
      <w:r w:rsidRPr="00286323">
        <w:rPr>
          <w:rFonts w:asciiTheme="minorEastAsia" w:eastAsiaTheme="minorEastAsia" w:hAnsiTheme="minorEastAsia" w:cs="Arial" w:hint="eastAsia"/>
          <w:b w:val="0"/>
          <w:color w:val="000000" w:themeColor="text1"/>
        </w:rPr>
        <w:t>基金合同存放地和投资者取得基金合同的方式</w:t>
      </w:r>
    </w:p>
    <w:p w:rsidR="00A64800" w:rsidRPr="00286323" w:rsidRDefault="00A64800"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1、《基金合同》正本一式八份，除中国证监会和银行业监督管理机构各持两份外，基金管理人、基金托管人各持有两份，每份具有同等的法律效力。</w:t>
      </w:r>
    </w:p>
    <w:p w:rsidR="001A7CDB" w:rsidRPr="00286323" w:rsidRDefault="00A64800" w:rsidP="00ED52CD">
      <w:pPr>
        <w:autoSpaceDE w:val="0"/>
        <w:autoSpaceDN w:val="0"/>
        <w:adjustRightInd w:val="0"/>
        <w:snapToGrid w:val="0"/>
        <w:spacing w:line="360" w:lineRule="auto"/>
        <w:ind w:firstLineChars="200" w:firstLine="420"/>
        <w:jc w:val="left"/>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2、《基金合同》可印制成册，供投资者在基金管理人、基金托管人、销售机构的办公场所和营业场所查阅。</w:t>
      </w:r>
    </w:p>
    <w:p w:rsidR="001A7CDB" w:rsidRPr="00286323" w:rsidRDefault="001A7CDB" w:rsidP="00F71D3B">
      <w:pPr>
        <w:pStyle w:val="11"/>
        <w:numPr>
          <w:ilvl w:val="0"/>
          <w:numId w:val="9"/>
        </w:numPr>
        <w:snapToGrid w:val="0"/>
        <w:spacing w:beforeLines="0" w:afterLines="0" w:line="360" w:lineRule="auto"/>
        <w:ind w:firstLineChars="0"/>
        <w:rPr>
          <w:rFonts w:asciiTheme="minorEastAsia" w:eastAsiaTheme="minorEastAsia" w:hAnsiTheme="minorEastAsia" w:cs="Arial"/>
          <w:bCs/>
          <w:color w:val="000000" w:themeColor="text1"/>
        </w:rPr>
      </w:pPr>
      <w:bookmarkStart w:id="771" w:name="_Toc316994660"/>
      <w:bookmarkStart w:id="772" w:name="_Toc238870145"/>
      <w:bookmarkStart w:id="773" w:name="_Toc81922656"/>
      <w:bookmarkEnd w:id="771"/>
      <w:r w:rsidRPr="00286323">
        <w:rPr>
          <w:rFonts w:asciiTheme="minorEastAsia" w:eastAsiaTheme="minorEastAsia" w:hAnsiTheme="minorEastAsia" w:cs="Arial" w:hint="eastAsia"/>
          <w:bCs/>
          <w:color w:val="000000" w:themeColor="text1"/>
        </w:rPr>
        <w:lastRenderedPageBreak/>
        <w:t>基金托管协议的内容摘要</w:t>
      </w:r>
      <w:bookmarkEnd w:id="772"/>
      <w:bookmarkEnd w:id="773"/>
    </w:p>
    <w:p w:rsidR="001A7CDB" w:rsidRPr="00286323" w:rsidRDefault="001A7CDB" w:rsidP="005F0E3E">
      <w:pPr>
        <w:pStyle w:val="20"/>
        <w:numPr>
          <w:ilvl w:val="1"/>
          <w:numId w:val="9"/>
        </w:numPr>
        <w:snapToGrid w:val="0"/>
        <w:spacing w:beforeLines="0" w:afterLines="0" w:line="360" w:lineRule="auto"/>
        <w:ind w:leftChars="-67" w:left="-1" w:hangingChars="50" w:hanging="140"/>
        <w:rPr>
          <w:rFonts w:asciiTheme="minorEastAsia" w:eastAsiaTheme="minorEastAsia" w:hAnsiTheme="minorEastAsia" w:cs="Arial"/>
          <w:b w:val="0"/>
          <w:bCs/>
          <w:color w:val="000000" w:themeColor="text1"/>
        </w:rPr>
      </w:pPr>
      <w:bookmarkStart w:id="774" w:name="_Toc40511576"/>
      <w:bookmarkStart w:id="775" w:name="_Toc238870146"/>
      <w:r w:rsidRPr="00286323">
        <w:rPr>
          <w:rFonts w:asciiTheme="minorEastAsia" w:eastAsiaTheme="minorEastAsia" w:hAnsiTheme="minorEastAsia" w:cs="Arial"/>
          <w:b w:val="0"/>
          <w:bCs/>
          <w:color w:val="000000" w:themeColor="text1"/>
        </w:rPr>
        <w:t>托管协议当事人</w:t>
      </w:r>
      <w:bookmarkEnd w:id="774"/>
      <w:bookmarkEnd w:id="775"/>
    </w:p>
    <w:p w:rsidR="001A7CD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bookmarkStart w:id="776" w:name="_Toc316994662"/>
      <w:bookmarkStart w:id="777" w:name="_Toc353180325"/>
      <w:r w:rsidRPr="00286323">
        <w:rPr>
          <w:rFonts w:asciiTheme="minorEastAsia" w:eastAsiaTheme="minorEastAsia" w:hAnsiTheme="minorEastAsia" w:cs="Arial" w:hint="eastAsia"/>
          <w:color w:val="000000" w:themeColor="text1"/>
        </w:rPr>
        <w:t>1、基金管理人</w:t>
      </w:r>
      <w:bookmarkEnd w:id="776"/>
      <w:bookmarkEnd w:id="777"/>
    </w:p>
    <w:p w:rsidR="00034ADE" w:rsidRPr="00286323" w:rsidRDefault="00034ADE" w:rsidP="00F71D3B">
      <w:pPr>
        <w:adjustRightInd w:val="0"/>
        <w:snapToGrid w:val="0"/>
        <w:spacing w:line="360" w:lineRule="auto"/>
        <w:ind w:firstLineChars="200" w:firstLine="420"/>
        <w:rPr>
          <w:rFonts w:asciiTheme="minorEastAsia" w:eastAsiaTheme="minorEastAsia" w:hAnsiTheme="minorEastAsia" w:cs="Arial"/>
          <w:color w:val="000000" w:themeColor="text1"/>
        </w:rPr>
      </w:pPr>
      <w:bookmarkStart w:id="778" w:name="_Toc353180326"/>
      <w:r w:rsidRPr="00286323">
        <w:rPr>
          <w:rFonts w:asciiTheme="minorEastAsia" w:eastAsiaTheme="minorEastAsia" w:hAnsiTheme="minorEastAsia" w:cs="Arial" w:hint="eastAsia"/>
          <w:color w:val="000000" w:themeColor="text1"/>
        </w:rPr>
        <w:t>名称：易方达基金管理有限公司</w:t>
      </w:r>
      <w:bookmarkEnd w:id="778"/>
    </w:p>
    <w:p w:rsidR="00034ADE" w:rsidRPr="00286323" w:rsidRDefault="00034ADE" w:rsidP="00F71D3B">
      <w:pPr>
        <w:adjustRightInd w:val="0"/>
        <w:snapToGrid w:val="0"/>
        <w:spacing w:line="360" w:lineRule="auto"/>
        <w:ind w:firstLineChars="200" w:firstLine="420"/>
        <w:rPr>
          <w:rFonts w:asciiTheme="minorEastAsia" w:eastAsiaTheme="minorEastAsia" w:hAnsiTheme="minorEastAsia" w:cs="Arial"/>
          <w:color w:val="000000" w:themeColor="text1"/>
        </w:rPr>
      </w:pPr>
      <w:bookmarkStart w:id="779" w:name="_Toc353180327"/>
      <w:r w:rsidRPr="00286323">
        <w:rPr>
          <w:rFonts w:asciiTheme="minorEastAsia" w:eastAsiaTheme="minorEastAsia" w:hAnsiTheme="minorEastAsia" w:cs="Arial" w:hint="eastAsia"/>
          <w:color w:val="000000" w:themeColor="text1"/>
        </w:rPr>
        <w:t>注册地址：</w:t>
      </w:r>
      <w:bookmarkEnd w:id="779"/>
      <w:r w:rsidR="00456977" w:rsidRPr="00286323">
        <w:rPr>
          <w:rFonts w:asciiTheme="minorEastAsia" w:eastAsiaTheme="minorEastAsia" w:hAnsiTheme="minorEastAsia" w:cs="Arial" w:hint="eastAsia"/>
          <w:color w:val="000000" w:themeColor="text1"/>
        </w:rPr>
        <w:t>广东省珠海市横琴新区宝华路6号105室－42891（集中办公区）</w:t>
      </w:r>
    </w:p>
    <w:p w:rsidR="00034ADE" w:rsidRPr="00286323" w:rsidRDefault="00034ADE" w:rsidP="00F71D3B">
      <w:pPr>
        <w:adjustRightInd w:val="0"/>
        <w:snapToGrid w:val="0"/>
        <w:spacing w:line="360" w:lineRule="auto"/>
        <w:ind w:firstLineChars="200" w:firstLine="420"/>
        <w:rPr>
          <w:rFonts w:asciiTheme="minorEastAsia" w:eastAsiaTheme="minorEastAsia" w:hAnsiTheme="minorEastAsia" w:cs="Arial"/>
          <w:color w:val="000000" w:themeColor="text1"/>
        </w:rPr>
      </w:pPr>
      <w:bookmarkStart w:id="780" w:name="_Toc353180328"/>
      <w:r w:rsidRPr="00286323">
        <w:rPr>
          <w:rFonts w:asciiTheme="minorEastAsia" w:eastAsiaTheme="minorEastAsia" w:hAnsiTheme="minorEastAsia" w:cs="Arial" w:hint="eastAsia"/>
          <w:color w:val="000000" w:themeColor="text1"/>
        </w:rPr>
        <w:t>法定代表人：</w:t>
      </w:r>
      <w:r w:rsidR="007F0578" w:rsidRPr="00286323">
        <w:rPr>
          <w:rFonts w:asciiTheme="minorEastAsia" w:eastAsiaTheme="minorEastAsia" w:hAnsiTheme="minorEastAsia" w:cs="Arial" w:hint="eastAsia"/>
          <w:color w:val="000000" w:themeColor="text1"/>
        </w:rPr>
        <w:t>刘晓艳</w:t>
      </w:r>
      <w:bookmarkEnd w:id="780"/>
    </w:p>
    <w:p w:rsidR="00034ADE" w:rsidRPr="00286323" w:rsidRDefault="00034ADE" w:rsidP="00F71D3B">
      <w:pPr>
        <w:adjustRightInd w:val="0"/>
        <w:snapToGrid w:val="0"/>
        <w:spacing w:line="360" w:lineRule="auto"/>
        <w:ind w:firstLineChars="200" w:firstLine="420"/>
        <w:rPr>
          <w:rFonts w:asciiTheme="minorEastAsia" w:eastAsiaTheme="minorEastAsia" w:hAnsiTheme="minorEastAsia" w:cs="Arial"/>
          <w:color w:val="000000" w:themeColor="text1"/>
        </w:rPr>
      </w:pPr>
      <w:bookmarkStart w:id="781" w:name="_Toc353180329"/>
      <w:r w:rsidRPr="00286323">
        <w:rPr>
          <w:rFonts w:asciiTheme="minorEastAsia" w:eastAsiaTheme="minorEastAsia" w:hAnsiTheme="minorEastAsia" w:cs="Arial" w:hint="eastAsia"/>
          <w:color w:val="000000" w:themeColor="text1"/>
        </w:rPr>
        <w:t>成立日期：2001年4月17日</w:t>
      </w:r>
      <w:bookmarkEnd w:id="781"/>
    </w:p>
    <w:p w:rsidR="00034ADE" w:rsidRPr="00286323" w:rsidRDefault="00034ADE" w:rsidP="00F71D3B">
      <w:pPr>
        <w:adjustRightInd w:val="0"/>
        <w:snapToGrid w:val="0"/>
        <w:spacing w:line="360" w:lineRule="auto"/>
        <w:ind w:firstLineChars="200" w:firstLine="420"/>
        <w:rPr>
          <w:rFonts w:asciiTheme="minorEastAsia" w:eastAsiaTheme="minorEastAsia" w:hAnsiTheme="minorEastAsia" w:cs="Arial"/>
          <w:color w:val="000000" w:themeColor="text1"/>
        </w:rPr>
      </w:pPr>
      <w:bookmarkStart w:id="782" w:name="_Toc353180330"/>
      <w:r w:rsidRPr="00286323">
        <w:rPr>
          <w:rFonts w:asciiTheme="minorEastAsia" w:eastAsiaTheme="minorEastAsia" w:hAnsiTheme="minorEastAsia" w:cs="Arial" w:hint="eastAsia"/>
          <w:color w:val="000000" w:themeColor="text1"/>
        </w:rPr>
        <w:t>批准设立机关及批准设立文号：</w:t>
      </w:r>
      <w:r w:rsidR="00104FE6" w:rsidRPr="00286323">
        <w:rPr>
          <w:rFonts w:asciiTheme="minorEastAsia" w:eastAsiaTheme="minorEastAsia" w:hAnsiTheme="minorEastAsia" w:cs="Arial" w:hint="eastAsia"/>
          <w:color w:val="000000" w:themeColor="text1"/>
        </w:rPr>
        <w:t>中国证券监督管理委员会</w:t>
      </w:r>
      <w:r w:rsidRPr="00286323">
        <w:rPr>
          <w:rFonts w:asciiTheme="minorEastAsia" w:eastAsiaTheme="minorEastAsia" w:hAnsiTheme="minorEastAsia" w:cs="Arial" w:hint="eastAsia"/>
          <w:color w:val="000000" w:themeColor="text1"/>
        </w:rPr>
        <w:t>，证监基金字[2001]4号</w:t>
      </w:r>
      <w:bookmarkEnd w:id="782"/>
    </w:p>
    <w:p w:rsidR="00034ADE" w:rsidRPr="00286323" w:rsidRDefault="00034ADE" w:rsidP="00F71D3B">
      <w:pPr>
        <w:adjustRightInd w:val="0"/>
        <w:snapToGrid w:val="0"/>
        <w:spacing w:line="360" w:lineRule="auto"/>
        <w:ind w:firstLineChars="200" w:firstLine="420"/>
        <w:rPr>
          <w:rFonts w:asciiTheme="minorEastAsia" w:eastAsiaTheme="minorEastAsia" w:hAnsiTheme="minorEastAsia" w:cs="Arial"/>
          <w:color w:val="000000" w:themeColor="text1"/>
        </w:rPr>
      </w:pPr>
      <w:bookmarkStart w:id="783" w:name="_Toc353180331"/>
      <w:r w:rsidRPr="00286323">
        <w:rPr>
          <w:rFonts w:asciiTheme="minorEastAsia" w:eastAsiaTheme="minorEastAsia" w:hAnsiTheme="minorEastAsia" w:cs="Arial" w:hint="eastAsia"/>
          <w:color w:val="000000" w:themeColor="text1"/>
        </w:rPr>
        <w:t>组织形式：有限责任公司</w:t>
      </w:r>
      <w:bookmarkEnd w:id="783"/>
    </w:p>
    <w:p w:rsidR="00034ADE" w:rsidRPr="00286323" w:rsidRDefault="00C479C3"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注册资本：13,244.2万元人民币</w:t>
      </w:r>
    </w:p>
    <w:p w:rsidR="00034ADE" w:rsidRPr="00286323" w:rsidRDefault="00034ADE" w:rsidP="00F71D3B">
      <w:pPr>
        <w:adjustRightInd w:val="0"/>
        <w:snapToGrid w:val="0"/>
        <w:spacing w:line="360" w:lineRule="auto"/>
        <w:ind w:firstLineChars="200" w:firstLine="420"/>
        <w:rPr>
          <w:rFonts w:asciiTheme="minorEastAsia" w:eastAsiaTheme="minorEastAsia" w:hAnsiTheme="minorEastAsia" w:cs="Arial"/>
          <w:color w:val="000000" w:themeColor="text1"/>
        </w:rPr>
      </w:pPr>
      <w:bookmarkStart w:id="784" w:name="_Toc353180333"/>
      <w:r w:rsidRPr="00286323">
        <w:rPr>
          <w:rFonts w:asciiTheme="minorEastAsia" w:eastAsiaTheme="minorEastAsia" w:hAnsiTheme="minorEastAsia" w:cs="Arial" w:hint="eastAsia"/>
          <w:color w:val="000000" w:themeColor="text1"/>
        </w:rPr>
        <w:t>存续期间：持续经营</w:t>
      </w:r>
      <w:bookmarkEnd w:id="784"/>
    </w:p>
    <w:p w:rsidR="00034ADE" w:rsidRPr="00286323" w:rsidRDefault="00034ADE" w:rsidP="00F71D3B">
      <w:pPr>
        <w:adjustRightInd w:val="0"/>
        <w:snapToGrid w:val="0"/>
        <w:spacing w:line="360" w:lineRule="auto"/>
        <w:ind w:firstLineChars="200" w:firstLine="420"/>
        <w:rPr>
          <w:rFonts w:asciiTheme="minorEastAsia" w:eastAsiaTheme="minorEastAsia" w:hAnsiTheme="minorEastAsia" w:cs="Arial"/>
          <w:color w:val="000000" w:themeColor="text1"/>
        </w:rPr>
      </w:pPr>
      <w:bookmarkStart w:id="785" w:name="_Toc353180334"/>
      <w:r w:rsidRPr="00286323">
        <w:rPr>
          <w:rFonts w:asciiTheme="minorEastAsia" w:eastAsiaTheme="minorEastAsia" w:hAnsiTheme="minorEastAsia" w:cs="Arial" w:hint="eastAsia"/>
          <w:color w:val="000000" w:themeColor="text1"/>
        </w:rPr>
        <w:t>经营范围：</w:t>
      </w:r>
      <w:bookmarkEnd w:id="785"/>
      <w:r w:rsidR="00307189" w:rsidRPr="00286323">
        <w:rPr>
          <w:rFonts w:asciiTheme="minorEastAsia" w:eastAsiaTheme="minorEastAsia" w:hAnsiTheme="minorEastAsia" w:cs="Arial" w:hint="eastAsia"/>
          <w:color w:val="000000" w:themeColor="text1"/>
        </w:rPr>
        <w:t>公开募集证券投资基金管理、基金销售、特定客户资产管理</w:t>
      </w:r>
    </w:p>
    <w:p w:rsidR="001A7CD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bookmarkStart w:id="786" w:name="_Toc316994663"/>
      <w:bookmarkStart w:id="787" w:name="_Toc353180335"/>
      <w:r w:rsidRPr="00286323">
        <w:rPr>
          <w:rFonts w:asciiTheme="minorEastAsia" w:eastAsiaTheme="minorEastAsia" w:hAnsiTheme="minorEastAsia" w:cs="Arial" w:hint="eastAsia"/>
          <w:color w:val="000000" w:themeColor="text1"/>
        </w:rPr>
        <w:t>2、基金托管人</w:t>
      </w:r>
      <w:bookmarkEnd w:id="786"/>
      <w:bookmarkEnd w:id="787"/>
    </w:p>
    <w:p w:rsidR="00034ADE" w:rsidRPr="00286323" w:rsidRDefault="00034ADE"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名称：中国建设银行股份有限公司</w:t>
      </w:r>
      <w:r w:rsidR="001B3973" w:rsidRPr="00286323">
        <w:rPr>
          <w:rFonts w:asciiTheme="minorEastAsia" w:eastAsiaTheme="minorEastAsia" w:hAnsiTheme="minorEastAsia" w:cs="Arial" w:hint="eastAsia"/>
          <w:color w:val="000000" w:themeColor="text1"/>
        </w:rPr>
        <w:t>（</w:t>
      </w:r>
      <w:r w:rsidRPr="00286323">
        <w:rPr>
          <w:rFonts w:asciiTheme="minorEastAsia" w:eastAsiaTheme="minorEastAsia" w:hAnsiTheme="minorEastAsia" w:cs="Arial" w:hint="eastAsia"/>
          <w:color w:val="000000" w:themeColor="text1"/>
        </w:rPr>
        <w:t>简称：中国建设银行</w:t>
      </w:r>
      <w:r w:rsidR="001B3973" w:rsidRPr="00286323">
        <w:rPr>
          <w:rFonts w:asciiTheme="minorEastAsia" w:eastAsiaTheme="minorEastAsia" w:hAnsiTheme="minorEastAsia" w:cs="Arial" w:hint="eastAsia"/>
          <w:color w:val="000000" w:themeColor="text1"/>
        </w:rPr>
        <w:t>）</w:t>
      </w:r>
    </w:p>
    <w:p w:rsidR="00034ADE" w:rsidRPr="00286323" w:rsidRDefault="00034ADE"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住所：北京市西城区金融大街25号</w:t>
      </w:r>
    </w:p>
    <w:p w:rsidR="00034ADE" w:rsidRPr="00286323" w:rsidRDefault="00034ADE"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办公地址：北京市西城区闹市口大街1号院1号楼</w:t>
      </w:r>
    </w:p>
    <w:p w:rsidR="00034ADE" w:rsidRPr="00286323" w:rsidRDefault="00034ADE"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邮政编码：100033</w:t>
      </w:r>
    </w:p>
    <w:p w:rsidR="00034ADE" w:rsidRPr="00286323" w:rsidRDefault="00034ADE"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法定代表人：</w:t>
      </w:r>
      <w:r w:rsidR="00726333" w:rsidRPr="00286323">
        <w:rPr>
          <w:rFonts w:asciiTheme="minorEastAsia" w:eastAsiaTheme="minorEastAsia" w:hAnsiTheme="minorEastAsia" w:cs="Arial" w:hint="eastAsia"/>
          <w:color w:val="000000" w:themeColor="text1"/>
        </w:rPr>
        <w:t>田</w:t>
      </w:r>
      <w:r w:rsidR="00726333" w:rsidRPr="00286323">
        <w:rPr>
          <w:rFonts w:asciiTheme="minorEastAsia" w:eastAsiaTheme="minorEastAsia" w:hAnsiTheme="minorEastAsia" w:cs="Arial"/>
          <w:color w:val="000000" w:themeColor="text1"/>
        </w:rPr>
        <w:t>国立</w:t>
      </w:r>
    </w:p>
    <w:p w:rsidR="00034ADE" w:rsidRPr="00286323" w:rsidRDefault="00034ADE"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成立日期：2004年9月17日</w:t>
      </w:r>
    </w:p>
    <w:p w:rsidR="00034ADE" w:rsidRPr="00286323" w:rsidRDefault="00034ADE"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基金托管业务批准文号：中国证监会证监基字[1998]12号</w:t>
      </w:r>
    </w:p>
    <w:p w:rsidR="00034ADE" w:rsidRPr="00286323" w:rsidRDefault="00034ADE"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组织形式：股份有限公司</w:t>
      </w:r>
    </w:p>
    <w:p w:rsidR="00034ADE" w:rsidRPr="00286323" w:rsidRDefault="00034ADE"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注册资本：</w:t>
      </w:r>
      <w:r w:rsidR="006D636C" w:rsidRPr="00286323">
        <w:rPr>
          <w:rFonts w:asciiTheme="minorEastAsia" w:eastAsiaTheme="minorEastAsia" w:hAnsiTheme="minorEastAsia" w:hint="eastAsia"/>
          <w:color w:val="000000" w:themeColor="text1"/>
        </w:rPr>
        <w:t>贰仟伍佰亿壹仟零玖拾柒万柒仟肆佰捌拾陆元整</w:t>
      </w:r>
    </w:p>
    <w:p w:rsidR="00034ADE" w:rsidRPr="00286323" w:rsidRDefault="00034ADE"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存续期间：持续经营</w:t>
      </w:r>
    </w:p>
    <w:p w:rsidR="00034ADE" w:rsidRPr="00286323" w:rsidRDefault="00034ADE"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1A7CDB" w:rsidRPr="00286323" w:rsidRDefault="001A7CDB" w:rsidP="005F0E3E">
      <w:pPr>
        <w:pStyle w:val="20"/>
        <w:numPr>
          <w:ilvl w:val="1"/>
          <w:numId w:val="9"/>
        </w:numPr>
        <w:snapToGrid w:val="0"/>
        <w:spacing w:beforeLines="0" w:afterLines="0" w:line="360" w:lineRule="auto"/>
        <w:ind w:leftChars="-67" w:left="-1" w:hangingChars="50" w:hanging="140"/>
        <w:rPr>
          <w:rFonts w:asciiTheme="minorEastAsia" w:eastAsiaTheme="minorEastAsia" w:hAnsiTheme="minorEastAsia" w:cs="Arial"/>
          <w:b w:val="0"/>
          <w:bCs/>
          <w:color w:val="000000" w:themeColor="text1"/>
        </w:rPr>
      </w:pPr>
      <w:bookmarkStart w:id="788" w:name="_Toc40511578"/>
      <w:bookmarkStart w:id="789" w:name="_Toc238870147"/>
      <w:bookmarkStart w:id="790" w:name="_Toc124749227"/>
      <w:bookmarkStart w:id="791" w:name="_Toc124749938"/>
      <w:bookmarkStart w:id="792" w:name="_Toc125361075"/>
      <w:r w:rsidRPr="00286323">
        <w:rPr>
          <w:rFonts w:asciiTheme="minorEastAsia" w:eastAsiaTheme="minorEastAsia" w:hAnsiTheme="minorEastAsia" w:cs="Arial"/>
          <w:b w:val="0"/>
          <w:bCs/>
          <w:color w:val="000000" w:themeColor="text1"/>
        </w:rPr>
        <w:t>基金托管人对基金管理人的业务监督和核查</w:t>
      </w:r>
      <w:bookmarkEnd w:id="788"/>
      <w:bookmarkEnd w:id="789"/>
      <w:bookmarkEnd w:id="790"/>
      <w:bookmarkEnd w:id="791"/>
      <w:bookmarkEnd w:id="792"/>
    </w:p>
    <w:p w:rsidR="001A7CD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w:t>
      </w:r>
      <w:r w:rsidR="00034ADE" w:rsidRPr="00286323">
        <w:rPr>
          <w:rFonts w:asciiTheme="minorEastAsia" w:eastAsiaTheme="minorEastAsia" w:hAnsiTheme="minorEastAsia" w:cs="Arial" w:hint="eastAsia"/>
          <w:color w:val="000000" w:themeColor="text1"/>
        </w:rPr>
        <w:t>基金托管人根据有关法律法规的规定及基金合同的约定，对基金投资范围、投资对象进行监督。基金合同明确约定基金投资风格或证券选择标准的，基金管理人应按照基金</w:t>
      </w:r>
      <w:r w:rsidR="00034ADE" w:rsidRPr="00286323">
        <w:rPr>
          <w:rFonts w:asciiTheme="minorEastAsia" w:eastAsiaTheme="minorEastAsia" w:hAnsiTheme="minorEastAsia" w:cs="Arial" w:hint="eastAsia"/>
          <w:color w:val="000000" w:themeColor="text1"/>
        </w:rPr>
        <w:lastRenderedPageBreak/>
        <w:t>托管人要求的格式提供投资品种池，以便基金托管人运用相关技术系统，对基金实际投资是否符合基金合同关于证券选择标准的约定进行监督，对存在疑义的事项进行核查</w:t>
      </w:r>
      <w:r w:rsidRPr="00286323">
        <w:rPr>
          <w:rFonts w:asciiTheme="minorEastAsia" w:eastAsiaTheme="minorEastAsia" w:hAnsiTheme="minorEastAsia" w:cs="Arial" w:hint="eastAsia"/>
          <w:color w:val="000000" w:themeColor="text1"/>
        </w:rPr>
        <w:t>。</w:t>
      </w:r>
    </w:p>
    <w:p w:rsidR="00034ADE" w:rsidRPr="00286323" w:rsidRDefault="00034ADE"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本基金的投资范围为具有良好流动性的金融工具，包括国内依法发行上市的股票（含中小板、创业板及其他经中国证监会核准</w:t>
      </w:r>
      <w:r w:rsidR="00F76EEB" w:rsidRPr="00286323">
        <w:rPr>
          <w:rFonts w:asciiTheme="minorEastAsia" w:eastAsiaTheme="minorEastAsia" w:hAnsiTheme="minorEastAsia" w:cs="Arial" w:hint="eastAsia"/>
          <w:color w:val="000000" w:themeColor="text1"/>
        </w:rPr>
        <w:t>或注册上市的股票、存托凭证</w:t>
      </w:r>
      <w:r w:rsidRPr="00286323">
        <w:rPr>
          <w:rFonts w:asciiTheme="minorEastAsia" w:eastAsiaTheme="minorEastAsia" w:hAnsiTheme="minorEastAsia" w:cs="Arial" w:hint="eastAsia"/>
          <w:color w:val="000000" w:themeColor="text1"/>
        </w:rPr>
        <w:t>）、权证等权益类品种，国债、央行票据、金融债、企业债、公司债、中期票据、短期融资券、可转换债券（含分离型可转换债券）、资产支持证券、债券回购、银行存款等固定收益类品种，股指期货以及法律法规或中国证监会允许基金投资的其他金融工具，但须符合中国证监会相关规定。</w:t>
      </w:r>
    </w:p>
    <w:p w:rsidR="00034ADE" w:rsidRPr="00286323" w:rsidRDefault="00034ADE"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本基金根据相关法律法规或中国证监会要求履行相关手续后，还可以投资于法律法规或中国证监会未来允许基金投资的其它金融工具。</w:t>
      </w:r>
    </w:p>
    <w:p w:rsidR="00034ADE" w:rsidRPr="00286323" w:rsidRDefault="00034ADE"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本基金的投资比例为：</w:t>
      </w:r>
    </w:p>
    <w:p w:rsidR="00034ADE" w:rsidRPr="00286323" w:rsidRDefault="00034ADE"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股票投资比例不低于基金资产净值的90%，</w:t>
      </w:r>
      <w:r w:rsidRPr="00286323">
        <w:rPr>
          <w:rFonts w:asciiTheme="minorEastAsia" w:eastAsiaTheme="minorEastAsia" w:hAnsiTheme="minorEastAsia" w:cs="Arial" w:hint="eastAsia"/>
          <w:bCs/>
          <w:color w:val="000000" w:themeColor="text1"/>
        </w:rPr>
        <w:t>其中投资于标的指数成份股和备选成份股的资产不低于股票资产净值的80%；现金或者到期日在一年以内的政府债券不低于基金资产净值的5%</w:t>
      </w:r>
      <w:r w:rsidR="00AA15B0" w:rsidRPr="00286323">
        <w:rPr>
          <w:rFonts w:asciiTheme="minorEastAsia" w:eastAsiaTheme="minorEastAsia" w:hAnsiTheme="minorEastAsia" w:cs="Arial" w:hint="eastAsia"/>
          <w:bCs/>
          <w:color w:val="000000" w:themeColor="text1"/>
        </w:rPr>
        <w:t>，现金不包括结算备付金、存出保证金、应收申购款等</w:t>
      </w:r>
      <w:r w:rsidRPr="00286323">
        <w:rPr>
          <w:rFonts w:asciiTheme="minorEastAsia" w:eastAsiaTheme="minorEastAsia" w:hAnsiTheme="minorEastAsia" w:cs="Arial" w:hint="eastAsia"/>
          <w:bCs/>
          <w:color w:val="000000" w:themeColor="text1"/>
        </w:rPr>
        <w:t>。</w:t>
      </w:r>
    </w:p>
    <w:p w:rsidR="001A7CDB" w:rsidRPr="00286323" w:rsidRDefault="00034ADE" w:rsidP="00F71D3B">
      <w:pPr>
        <w:adjustRightInd w:val="0"/>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cs="Arial" w:hint="eastAsia"/>
          <w:color w:val="000000" w:themeColor="text1"/>
        </w:rPr>
        <w:t>若法律法规的相关规定发生变更或监管机构允许，本基金管理人在履行适当程序后，可对上述资产配置比例进行调整。</w:t>
      </w:r>
    </w:p>
    <w:p w:rsidR="00034ADE"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hint="eastAsia"/>
          <w:color w:val="000000" w:themeColor="text1"/>
        </w:rPr>
        <w:t>2、</w:t>
      </w:r>
      <w:r w:rsidR="00034ADE" w:rsidRPr="00286323">
        <w:rPr>
          <w:rFonts w:asciiTheme="minorEastAsia" w:eastAsiaTheme="minorEastAsia" w:hAnsiTheme="minorEastAsia" w:cs="Arial" w:hint="eastAsia"/>
          <w:color w:val="000000" w:themeColor="text1"/>
        </w:rPr>
        <w:t>基金托管人根据有关法律法规的规定及基金合同的约定，对基金投资、融资比例进行监督。基金托管人按下述比例和调整期限进行监督：</w:t>
      </w:r>
    </w:p>
    <w:p w:rsidR="00034ADE" w:rsidRPr="00286323" w:rsidRDefault="00034ADE"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（1）本基金股票资产占基金资产净值的比例为90%-95%，其中投资于标的指数成份股和备选成份股的资产不低于股票资产的80%；</w:t>
      </w:r>
    </w:p>
    <w:p w:rsidR="00034ADE" w:rsidRPr="00286323" w:rsidRDefault="00034ADE"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（2）本基金持有一家上市公司的股票，其市值不超过基金资产净值的10％；</w:t>
      </w:r>
    </w:p>
    <w:p w:rsidR="00034ADE" w:rsidRPr="00286323" w:rsidRDefault="00034ADE"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（3）本基金持有的全部权证，其市值不得超过基金资产净值的3％；</w:t>
      </w:r>
    </w:p>
    <w:p w:rsidR="00034ADE" w:rsidRPr="00286323" w:rsidRDefault="00034ADE"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（4）本基金在任何交易日买入权证的总金额，不得超过上一交易日基金资产净值的0.5％；</w:t>
      </w:r>
    </w:p>
    <w:p w:rsidR="00034ADE" w:rsidRPr="00286323" w:rsidRDefault="00034ADE"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（5）本基金投资于同一原始权益人的各类资产支持证券的比例，不得超过基金资产净值的10％；</w:t>
      </w:r>
    </w:p>
    <w:p w:rsidR="00034ADE" w:rsidRPr="00286323" w:rsidRDefault="00034ADE"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（6）本基金持有的全部资产支持证券，其市值不得超过基金资产净值的20％；</w:t>
      </w:r>
    </w:p>
    <w:p w:rsidR="00034ADE" w:rsidRPr="00286323" w:rsidRDefault="00034ADE"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（7）本基金持有的同一(指同一信用级别)资产支持证券的比例，不得超过该资产支持证券规模的10％；</w:t>
      </w:r>
    </w:p>
    <w:p w:rsidR="00034ADE" w:rsidRPr="00286323" w:rsidRDefault="00034ADE"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（8）本基金应投资于信用级别评级为BBB以上(含BBB)的资产支持证券。基金持有资产支持证券期间，如果其信用等级下降、不再符合投资标准，应在评级报告发布之日起3个月内予以全部卖出；</w:t>
      </w:r>
    </w:p>
    <w:p w:rsidR="00034ADE" w:rsidRPr="00286323" w:rsidRDefault="00034ADE"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lastRenderedPageBreak/>
        <w:t>（9）基金财产参与股票发行申购，本基金所申报的金额不超过本基金的总资产，本基金所申报的股票数量不超过拟发行股票公司本次发行股票的总量；</w:t>
      </w:r>
    </w:p>
    <w:p w:rsidR="00034ADE" w:rsidRPr="00286323" w:rsidRDefault="00034ADE"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（10）本基金进入全国银行间同业市场进行债券回购的资金余额不得超过基金资产净值的40%；债券回购最长期限为1年，债券回购到期后不得展期；</w:t>
      </w:r>
    </w:p>
    <w:p w:rsidR="00034ADE" w:rsidRPr="00286323" w:rsidRDefault="00034ADE"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11）本基金投资流通受限证券，其公允价值不得超过本基金资产净值的10%；本基金持有的同一流通受限证券，其公允价值不得超过本基金资产净值的3%；因流通受限证券价格波动、基金规模变动、新股申购等基金管理人无法控制的因素导致上述比例被动超标的，基金管理人应当停止主动买入流通受限证券并在流通受限期结束后卖出流通受限证券。</w:t>
      </w:r>
    </w:p>
    <w:p w:rsidR="00034ADE" w:rsidRPr="00286323" w:rsidRDefault="00034ADE"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（12）本基金投资股指期货，还应包括以下投资监督比例：</w:t>
      </w:r>
    </w:p>
    <w:p w:rsidR="00034ADE" w:rsidRPr="00286323" w:rsidRDefault="00B73A84"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w:t>
      </w:r>
      <w:r w:rsidR="00034ADE" w:rsidRPr="00286323">
        <w:rPr>
          <w:rFonts w:asciiTheme="minorEastAsia" w:eastAsiaTheme="minorEastAsia" w:hAnsiTheme="minorEastAsia" w:cs="Arial" w:hint="eastAsia"/>
          <w:color w:val="000000" w:themeColor="text1"/>
        </w:rPr>
        <w:t>在任何交易日日终，本基金持有的买入股指期货合约价值不超过基金资产净值的10%，卖出股指期货合约价值不超过基金持有的股票总市值的20%。</w:t>
      </w:r>
    </w:p>
    <w:p w:rsidR="00034ADE" w:rsidRPr="00286323" w:rsidRDefault="00B73A84"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2）</w:t>
      </w:r>
      <w:r w:rsidR="00034ADE" w:rsidRPr="00286323">
        <w:rPr>
          <w:rFonts w:asciiTheme="minorEastAsia" w:eastAsiaTheme="minorEastAsia" w:hAnsiTheme="minorEastAsia" w:cs="Arial" w:hint="eastAsia"/>
          <w:color w:val="000000" w:themeColor="text1"/>
        </w:rPr>
        <w:t>在任何交易日日终，本基金持有的买入期货合约价值与有价证券市值之和,不得超过基金资产净值的95%。</w:t>
      </w:r>
    </w:p>
    <w:p w:rsidR="00034ADE" w:rsidRPr="00286323" w:rsidRDefault="00034ADE"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其中，有价证券指股票、债券（不含到期日在一年以内的政府债券）、权证、资产支持证券、买入返售金融资产（不含质押式回购）等。</w:t>
      </w:r>
    </w:p>
    <w:p w:rsidR="00034ADE" w:rsidRPr="00286323" w:rsidRDefault="00B73A84"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3）</w:t>
      </w:r>
      <w:r w:rsidR="00034ADE" w:rsidRPr="00286323">
        <w:rPr>
          <w:rFonts w:asciiTheme="minorEastAsia" w:eastAsiaTheme="minorEastAsia" w:hAnsiTheme="minorEastAsia" w:cs="Arial" w:hint="eastAsia"/>
          <w:color w:val="000000" w:themeColor="text1"/>
        </w:rPr>
        <w:t>本基金所持有的股票市值和买入、卖出股指期货合约价值，合计（轧差计算）占基金资产的比例范围为90%-95%。</w:t>
      </w:r>
    </w:p>
    <w:p w:rsidR="00034ADE" w:rsidRPr="00286323" w:rsidRDefault="00B73A84"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4）</w:t>
      </w:r>
      <w:r w:rsidR="00034ADE" w:rsidRPr="00286323">
        <w:rPr>
          <w:rFonts w:asciiTheme="minorEastAsia" w:eastAsiaTheme="minorEastAsia" w:hAnsiTheme="minorEastAsia" w:cs="Arial" w:hint="eastAsia"/>
          <w:color w:val="000000" w:themeColor="text1"/>
        </w:rPr>
        <w:t>本基金在任何交易日内交易（不包括平仓）的股指期货合约的成交金额不得超过上一交易日基金资产净值的20%。</w:t>
      </w:r>
    </w:p>
    <w:p w:rsidR="00034ADE" w:rsidRPr="00286323" w:rsidRDefault="00034ADE" w:rsidP="00F71D3B">
      <w:pPr>
        <w:adjustRightInd w:val="0"/>
        <w:snapToGrid w:val="0"/>
        <w:spacing w:line="360" w:lineRule="auto"/>
        <w:ind w:firstLineChars="200" w:firstLine="420"/>
        <w:rPr>
          <w:rFonts w:asciiTheme="minorEastAsia" w:eastAsiaTheme="minorEastAsia" w:hAnsiTheme="minorEastAsia" w:cs="Arial"/>
          <w:color w:val="000000" w:themeColor="text1"/>
        </w:rPr>
      </w:pPr>
    </w:p>
    <w:p w:rsidR="00034ADE" w:rsidRPr="00286323" w:rsidRDefault="00034ADE"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本基金在开始进行股指期货投资之前，应与基金托管人就股指期货开户、清算、估值、交收等事宜另行具体协商。</w:t>
      </w:r>
    </w:p>
    <w:p w:rsidR="00AA15B0" w:rsidRPr="00286323" w:rsidRDefault="00AA15B0" w:rsidP="00AA15B0">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（13）本基金每个交易日日终在扣除股指期货合约需缴纳的交易保证金后，应当保持不低于基金资产净值5%的现金或到期日在一年以内的政府债券,现金不包括结算备付金、存出保证金、应收申购款等。</w:t>
      </w:r>
    </w:p>
    <w:p w:rsidR="00AA15B0" w:rsidRPr="00286323" w:rsidRDefault="00AA15B0" w:rsidP="00AA15B0">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14）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AA15B0" w:rsidRPr="00286323" w:rsidRDefault="00AA15B0" w:rsidP="00AA15B0">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（15）本基金主动投资于流动性受限资产的市值合计不得超过本基金资产净值的15%。</w:t>
      </w:r>
    </w:p>
    <w:p w:rsidR="00AA15B0" w:rsidRPr="00286323" w:rsidRDefault="00AA15B0" w:rsidP="00AA15B0">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因证券市场波动、上市公司股票停牌、基金规模变动等基金管理人之外的因素致使基金不符合前款所规定比例限制的，基金管理人不得主动新增流动性受限资产的投资。</w:t>
      </w:r>
    </w:p>
    <w:p w:rsidR="00AA15B0" w:rsidRPr="00286323" w:rsidRDefault="00AA15B0" w:rsidP="00AA15B0">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（16）本基金与私募类证券资管产品及中国证监会认定的其他主体为交易对手开展逆回购交易的，可接受质押品的资质要求应当与基金合同约定的投资范围保持一致。</w:t>
      </w:r>
    </w:p>
    <w:p w:rsidR="00F76EEB" w:rsidRPr="00286323" w:rsidRDefault="00AA15B0" w:rsidP="00F76EEB">
      <w:pPr>
        <w:snapToGrid w:val="0"/>
        <w:spacing w:line="360" w:lineRule="auto"/>
        <w:ind w:firstLineChars="200" w:firstLine="420"/>
        <w:rPr>
          <w:rFonts w:asciiTheme="minorEastAsia" w:eastAsiaTheme="minorEastAsia" w:hAnsiTheme="minorEastAsia"/>
          <w:bCs/>
          <w:color w:val="000000" w:themeColor="text1"/>
        </w:rPr>
      </w:pPr>
      <w:r w:rsidRPr="00286323">
        <w:rPr>
          <w:rFonts w:asciiTheme="minorEastAsia" w:eastAsiaTheme="minorEastAsia" w:hAnsiTheme="minorEastAsia" w:cs="Arial" w:hint="eastAsia"/>
          <w:color w:val="000000" w:themeColor="text1"/>
        </w:rPr>
        <w:lastRenderedPageBreak/>
        <w:t>（17）</w:t>
      </w:r>
      <w:r w:rsidR="00F76EEB" w:rsidRPr="00286323">
        <w:rPr>
          <w:rFonts w:asciiTheme="minorEastAsia" w:eastAsiaTheme="minorEastAsia" w:hAnsiTheme="minorEastAsia" w:hint="eastAsia"/>
          <w:bCs/>
          <w:color w:val="000000" w:themeColor="text1"/>
        </w:rPr>
        <w:t>本基金投资存托凭证的比例限制依照境内上市交易的股票执行，与境内上市交易的股票合并计算。</w:t>
      </w:r>
    </w:p>
    <w:p w:rsidR="00AA15B0" w:rsidRPr="00286323" w:rsidRDefault="00F76EEB" w:rsidP="00F76EE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hint="eastAsia"/>
          <w:bCs/>
          <w:color w:val="000000" w:themeColor="text1"/>
        </w:rPr>
        <w:t>（18）</w:t>
      </w:r>
      <w:r w:rsidR="00AA15B0" w:rsidRPr="00286323">
        <w:rPr>
          <w:rFonts w:asciiTheme="minorEastAsia" w:eastAsiaTheme="minorEastAsia" w:hAnsiTheme="minorEastAsia" w:cs="Arial" w:hint="eastAsia"/>
          <w:color w:val="000000" w:themeColor="text1"/>
        </w:rPr>
        <w:t>法律法规及中国证监会规定的及《基金合同》约定的其他投资比例限制。</w:t>
      </w:r>
    </w:p>
    <w:p w:rsidR="00034ADE" w:rsidRPr="00286323" w:rsidRDefault="00034ADE"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如果法律法规对上述投资组合比例限制进行变更的，以变更后的规定为准。法律法规或监管部门取消上述限制，如适用于本基金，则本基金投资不再受相关限制。</w:t>
      </w:r>
    </w:p>
    <w:p w:rsidR="00034ADE" w:rsidRPr="00286323" w:rsidRDefault="00AA15B0"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除上述（8）、（9）、（13）、（15）、（16）以外，</w:t>
      </w:r>
      <w:r w:rsidR="00034ADE" w:rsidRPr="00286323">
        <w:rPr>
          <w:rFonts w:asciiTheme="minorEastAsia" w:eastAsiaTheme="minorEastAsia" w:hAnsiTheme="minorEastAsia" w:cs="Arial" w:hint="eastAsia"/>
          <w:color w:val="000000" w:themeColor="text1"/>
        </w:rPr>
        <w:t>因证券、期货市场波动、上市公司合并、基金规模变动、股权分置改革中支付对价等基金管理人之外的因素致使基金投资比例不符合上述规定投资比例的，基金管理人应当在10个交易日内进行调整。</w:t>
      </w:r>
    </w:p>
    <w:p w:rsidR="00034ADE" w:rsidRPr="00286323" w:rsidRDefault="00034ADE"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基金管理人应当自基金合同生效之日起6个月内使基金的投资组合比例符合基金合同的有关约定。基金托管人对基金的投资的监督与检查自基金合同生效之日起开始。</w:t>
      </w:r>
    </w:p>
    <w:p w:rsidR="00034ADE"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3、</w:t>
      </w:r>
      <w:r w:rsidR="00034ADE" w:rsidRPr="00286323">
        <w:rPr>
          <w:rFonts w:asciiTheme="minorEastAsia" w:eastAsiaTheme="minorEastAsia" w:hAnsiTheme="minorEastAsia" w:cs="Arial" w:hint="eastAsia"/>
          <w:color w:val="000000" w:themeColor="text1"/>
        </w:rPr>
        <w:t>基金托管人根据有关法律法规的规定及基金合同的约定，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rsidR="00034ADE" w:rsidRPr="00286323" w:rsidRDefault="00034ADE"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rsidR="0011571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4、</w:t>
      </w:r>
      <w:r w:rsidR="0011571B" w:rsidRPr="00286323">
        <w:rPr>
          <w:rFonts w:asciiTheme="minorEastAsia" w:eastAsiaTheme="minorEastAsia" w:hAnsiTheme="minorEastAsia" w:cs="Arial" w:hint="eastAsia"/>
          <w:color w:val="000000" w:themeColor="text1"/>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及结算方式的，应向基金托管人说明理由，并在与交易对手发生交易前3个工作日内与基金托管人协商解决。基金管理人与基金托管人完成确认后，被确认调整的名单开始生效，新名单生效前已与本次剔除的交易对手所进行但尚未结算的交易，仍应按照协议进行结算。</w:t>
      </w:r>
    </w:p>
    <w:p w:rsidR="001A7CDB" w:rsidRPr="00286323" w:rsidRDefault="0011571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基金管理人负责对交易对手的资信控制，按银行间债券市场的交易规则进行交易，并负责解决因交易对手不履行合同而造成的纠纷及损失，基金托管人不承担由此造成的任何</w:t>
      </w:r>
      <w:r w:rsidRPr="00286323">
        <w:rPr>
          <w:rFonts w:asciiTheme="minorEastAsia" w:eastAsiaTheme="minorEastAsia" w:hAnsiTheme="minorEastAsia" w:cs="Arial" w:hint="eastAsia"/>
          <w:color w:val="000000" w:themeColor="text1"/>
        </w:rPr>
        <w:lastRenderedPageBreak/>
        <w:t>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11571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5、</w:t>
      </w:r>
      <w:r w:rsidR="0011571B" w:rsidRPr="00286323">
        <w:rPr>
          <w:rFonts w:asciiTheme="minorEastAsia" w:eastAsiaTheme="minorEastAsia" w:hAnsiTheme="minorEastAsia" w:cs="Arial" w:hint="eastAsia"/>
          <w:color w:val="000000" w:themeColor="text1"/>
        </w:rPr>
        <w:t>基金托管人根据有关法律法规的规定及基金合同的约定，对基金管理人投资流通受限证券进行监督。</w:t>
      </w:r>
    </w:p>
    <w:p w:rsidR="0011571B" w:rsidRPr="00286323" w:rsidRDefault="0011571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11571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w:t>
      </w:r>
      <w:r w:rsidR="0011571B" w:rsidRPr="00286323">
        <w:rPr>
          <w:rFonts w:asciiTheme="minorEastAsia" w:eastAsiaTheme="minorEastAsia" w:hAnsiTheme="minorEastAsia" w:cs="Arial" w:hint="eastAsia"/>
          <w:color w:val="000000" w:themeColor="text1"/>
        </w:rPr>
        <w:t>本基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11571B" w:rsidRPr="00286323" w:rsidRDefault="0011571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本基金投资的受限证券限于可由中国证券登记结算有限责任公司或中央国债登记结算有限责任公司负责登记和存管，并可在证券交易所或全国银行间债券市场交易的证券。</w:t>
      </w:r>
    </w:p>
    <w:p w:rsidR="0011571B" w:rsidRPr="00286323" w:rsidRDefault="0011571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本基金投资的受限证券应保证登记在本基金名下，基金管理人负责相关工作的落实和协调。因基金管理人原因产生的受限证券登记存管问题，造成基金托管人无法安全保管本基金资产的责任与损失，及因基金管理人原因受限证券存管直接影响本基金安全的责任及损失，由基金管理人承担。</w:t>
      </w:r>
    </w:p>
    <w:p w:rsidR="0011571B" w:rsidRPr="00286323" w:rsidRDefault="0011571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本基金投资受限证券，不得预付任何形式的保证金。</w:t>
      </w:r>
    </w:p>
    <w:p w:rsidR="0011571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（2）</w:t>
      </w:r>
      <w:r w:rsidR="0011571B" w:rsidRPr="00286323">
        <w:rPr>
          <w:rFonts w:asciiTheme="minorEastAsia" w:eastAsiaTheme="minorEastAsia" w:hAnsiTheme="minorEastAsia" w:cs="Arial" w:hint="eastAsia"/>
          <w:color w:val="000000" w:themeColor="text1"/>
        </w:rPr>
        <w:t>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1A7CDB" w:rsidRPr="00286323" w:rsidRDefault="0011571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基金管理人负责应对本基金投资受限证券的流动性风险，确保对相关风险采取积极有效的措施，在合理的时间内有效解决基金运作的流动性问题。如因基金巨额赎回或市场发生剧烈变动等原因而导致基金现金周转困难时，基金管理人应按照法律法规和基金合同的规定处理并承担相应责任。对本基金因投资受限证券导致的流动性风险且基金托管人已尽职监督核查的，基金托管人不承担任何责任。</w:t>
      </w:r>
    </w:p>
    <w:p w:rsidR="001A7CD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lastRenderedPageBreak/>
        <w:t>（3）</w:t>
      </w:r>
      <w:r w:rsidR="0011571B" w:rsidRPr="00286323">
        <w:rPr>
          <w:rFonts w:asciiTheme="minorEastAsia" w:eastAsiaTheme="minorEastAsia" w:hAnsiTheme="minorEastAsia" w:cs="Arial" w:hint="eastAsia"/>
          <w:color w:val="000000" w:themeColor="text1"/>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1A7CD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w:t>
      </w:r>
      <w:r w:rsidR="0011571B" w:rsidRPr="00286323">
        <w:rPr>
          <w:rFonts w:asciiTheme="minorEastAsia" w:eastAsiaTheme="minorEastAsia" w:hAnsiTheme="minorEastAsia" w:cs="Arial" w:hint="eastAsia"/>
          <w:color w:val="000000" w:themeColor="text1"/>
        </w:rPr>
        <w:t>中国证监会批准发行非公开发行股票的批准文件</w:t>
      </w:r>
      <w:r w:rsidRPr="00286323">
        <w:rPr>
          <w:rFonts w:asciiTheme="minorEastAsia" w:eastAsiaTheme="minorEastAsia" w:hAnsiTheme="minorEastAsia" w:cs="Arial" w:hint="eastAsia"/>
          <w:color w:val="000000" w:themeColor="text1"/>
        </w:rPr>
        <w:t>。</w:t>
      </w:r>
    </w:p>
    <w:p w:rsidR="001A7CD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2）</w:t>
      </w:r>
      <w:r w:rsidR="0011571B" w:rsidRPr="00286323">
        <w:rPr>
          <w:rFonts w:asciiTheme="minorEastAsia" w:eastAsiaTheme="minorEastAsia" w:hAnsiTheme="minorEastAsia" w:cs="Arial" w:hint="eastAsia"/>
          <w:color w:val="000000" w:themeColor="text1"/>
        </w:rPr>
        <w:t>非公开发行股票有关发行数量、发行价格、锁定期等发行资料</w:t>
      </w:r>
      <w:r w:rsidRPr="00286323">
        <w:rPr>
          <w:rFonts w:asciiTheme="minorEastAsia" w:eastAsiaTheme="minorEastAsia" w:hAnsiTheme="minorEastAsia" w:cs="Arial" w:hint="eastAsia"/>
          <w:color w:val="000000" w:themeColor="text1"/>
        </w:rPr>
        <w:t>。</w:t>
      </w:r>
    </w:p>
    <w:p w:rsidR="001A7CD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3）</w:t>
      </w:r>
      <w:r w:rsidR="0011571B" w:rsidRPr="00286323">
        <w:rPr>
          <w:rFonts w:asciiTheme="minorEastAsia" w:eastAsiaTheme="minorEastAsia" w:hAnsiTheme="minorEastAsia" w:cs="Arial" w:hint="eastAsia"/>
          <w:color w:val="000000" w:themeColor="text1"/>
        </w:rPr>
        <w:t>基金拟认购的数量、价格、总成本、账面价值</w:t>
      </w:r>
      <w:r w:rsidRPr="00286323">
        <w:rPr>
          <w:rFonts w:asciiTheme="minorEastAsia" w:eastAsiaTheme="minorEastAsia" w:hAnsiTheme="minorEastAsia" w:cs="Arial" w:hint="eastAsia"/>
          <w:color w:val="000000" w:themeColor="text1"/>
        </w:rPr>
        <w:t>。</w:t>
      </w:r>
    </w:p>
    <w:p w:rsidR="0011571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（4）</w:t>
      </w:r>
      <w:r w:rsidR="0011571B" w:rsidRPr="00286323">
        <w:rPr>
          <w:rFonts w:asciiTheme="minorEastAsia" w:eastAsiaTheme="minorEastAsia" w:hAnsiTheme="minorEastAsia" w:cs="Arial" w:hint="eastAsia"/>
          <w:color w:val="000000" w:themeColor="text1"/>
        </w:rPr>
        <w:t>基金管理人应在本基金投资非公开发行股票后两个交易日内，在中国证监会</w:t>
      </w:r>
      <w:r w:rsidR="007C4910" w:rsidRPr="00286323">
        <w:rPr>
          <w:rFonts w:asciiTheme="minorEastAsia" w:eastAsiaTheme="minorEastAsia" w:hAnsiTheme="minorEastAsia" w:cs="Arial" w:hint="eastAsia"/>
          <w:color w:val="000000" w:themeColor="text1"/>
        </w:rPr>
        <w:t>指定媒介</w:t>
      </w:r>
      <w:r w:rsidR="0011571B" w:rsidRPr="00286323">
        <w:rPr>
          <w:rFonts w:asciiTheme="minorEastAsia" w:eastAsiaTheme="minorEastAsia" w:hAnsiTheme="minorEastAsia" w:cs="Arial" w:hint="eastAsia"/>
          <w:color w:val="000000" w:themeColor="text1"/>
        </w:rPr>
        <w:t>披露所投资非公开发行股票的名称、数量、总成本、账面价值，以及总成本和账面价值占基金资产净值的比例、锁定期等信息。</w:t>
      </w:r>
    </w:p>
    <w:p w:rsidR="001A7CDB" w:rsidRPr="00286323" w:rsidRDefault="0011571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本基金有关投资受限证券比例如违反有关限制规定，在合理期限内未能进行及时调整，基金管理人应在两个工作日内编制临时报告书，予以公告</w:t>
      </w:r>
      <w:r w:rsidR="001A7CDB" w:rsidRPr="00286323">
        <w:rPr>
          <w:rFonts w:asciiTheme="minorEastAsia" w:eastAsiaTheme="minorEastAsia" w:hAnsiTheme="minorEastAsia" w:cs="Arial" w:hint="eastAsia"/>
          <w:color w:val="000000" w:themeColor="text1"/>
        </w:rPr>
        <w:t>。</w:t>
      </w:r>
    </w:p>
    <w:p w:rsidR="001A7CD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（5）</w:t>
      </w:r>
      <w:r w:rsidR="0011571B" w:rsidRPr="00286323">
        <w:rPr>
          <w:rFonts w:asciiTheme="minorEastAsia" w:eastAsiaTheme="minorEastAsia" w:hAnsiTheme="minorEastAsia" w:cs="Arial" w:hint="eastAsia"/>
          <w:color w:val="000000" w:themeColor="text1"/>
        </w:rPr>
        <w:t>基金托管人根据有关规定有权对基金管理人进行以下事项监督：</w:t>
      </w:r>
    </w:p>
    <w:p w:rsidR="001A7CD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w:t>
      </w:r>
      <w:r w:rsidR="0011571B" w:rsidRPr="00286323">
        <w:rPr>
          <w:rFonts w:asciiTheme="minorEastAsia" w:eastAsiaTheme="minorEastAsia" w:hAnsiTheme="minorEastAsia" w:cs="Arial" w:hint="eastAsia"/>
          <w:color w:val="000000" w:themeColor="text1"/>
        </w:rPr>
        <w:t>本基金投资受限证券时的法律法规遵守情况。</w:t>
      </w:r>
    </w:p>
    <w:p w:rsidR="0011571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2）</w:t>
      </w:r>
      <w:r w:rsidR="0011571B" w:rsidRPr="00286323">
        <w:rPr>
          <w:rFonts w:asciiTheme="minorEastAsia" w:eastAsiaTheme="minorEastAsia" w:hAnsiTheme="minorEastAsia" w:cs="Arial" w:hint="eastAsia"/>
          <w:color w:val="000000" w:themeColor="text1"/>
        </w:rPr>
        <w:t>在基金投资受限证券管理工作方面有关制度、流动性风险处置预案的建立与完善情况。</w:t>
      </w:r>
    </w:p>
    <w:p w:rsidR="001A7CDB" w:rsidRPr="00286323" w:rsidRDefault="001A7CDB"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3）有关比例限制的执行情况。</w:t>
      </w:r>
    </w:p>
    <w:p w:rsidR="001A7CDB" w:rsidRPr="00286323" w:rsidRDefault="001A7CDB"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4）信息披露情况。</w:t>
      </w:r>
    </w:p>
    <w:p w:rsidR="001A7CD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（6）</w:t>
      </w:r>
      <w:r w:rsidRPr="00286323">
        <w:rPr>
          <w:rFonts w:asciiTheme="minorEastAsia" w:eastAsiaTheme="minorEastAsia" w:hAnsiTheme="minorEastAsia" w:hint="eastAsia"/>
          <w:color w:val="000000" w:themeColor="text1"/>
        </w:rPr>
        <w:t>相关法律法规对基金投资受限证券有新规定的，从其规定。</w:t>
      </w:r>
    </w:p>
    <w:p w:rsidR="0011571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6、</w:t>
      </w:r>
      <w:r w:rsidR="0011571B" w:rsidRPr="00286323">
        <w:rPr>
          <w:rFonts w:asciiTheme="minorEastAsia" w:eastAsiaTheme="minorEastAsia" w:hAnsiTheme="minorEastAsia" w:cs="Arial" w:hint="eastAsia"/>
          <w:color w:val="000000" w:themeColor="text1"/>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1A7CD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7、</w:t>
      </w:r>
      <w:r w:rsidR="0011571B" w:rsidRPr="00286323">
        <w:rPr>
          <w:rFonts w:asciiTheme="minorEastAsia" w:eastAsiaTheme="minorEastAsia" w:hAnsiTheme="minorEastAsia" w:cs="Arial" w:hint="eastAsia"/>
          <w:color w:val="000000" w:themeColor="text1"/>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1A7CD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8、</w:t>
      </w:r>
      <w:r w:rsidR="0011571B" w:rsidRPr="00286323">
        <w:rPr>
          <w:rFonts w:asciiTheme="minorEastAsia" w:eastAsiaTheme="minorEastAsia" w:hAnsiTheme="minorEastAsia" w:cs="Arial" w:hint="eastAsia"/>
          <w:color w:val="000000" w:themeColor="text1"/>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1A7CD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lastRenderedPageBreak/>
        <w:t>9、</w:t>
      </w:r>
      <w:r w:rsidR="0011571B" w:rsidRPr="00286323">
        <w:rPr>
          <w:rFonts w:asciiTheme="minorEastAsia" w:eastAsiaTheme="minorEastAsia" w:hAnsiTheme="minorEastAsia" w:cs="Arial" w:hint="eastAsia"/>
          <w:color w:val="000000" w:themeColor="text1"/>
        </w:rPr>
        <w:t>若基金托管人发现基金管理人依据交易程序已经生效的指令违反法律、行政法规和其他有关规定，或者违反基金合同约定的，应当立即通知基金管理人，由此造成的损失由基金管理人承担。</w:t>
      </w:r>
    </w:p>
    <w:p w:rsidR="001A7CDB" w:rsidRPr="00286323" w:rsidRDefault="001A7CDB"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cs="Arial" w:hint="eastAsia"/>
          <w:color w:val="000000" w:themeColor="text1"/>
        </w:rPr>
        <w:t>10、</w:t>
      </w:r>
      <w:r w:rsidR="0011571B" w:rsidRPr="00286323">
        <w:rPr>
          <w:rFonts w:asciiTheme="minorEastAsia" w:eastAsiaTheme="minorEastAsia" w:hAnsiTheme="minorEastAsia" w:cs="Arial" w:hint="eastAsia"/>
          <w:color w:val="000000" w:themeColor="text1"/>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1A7CDB" w:rsidRPr="00286323" w:rsidRDefault="001A7CDB" w:rsidP="005F0E3E">
      <w:pPr>
        <w:pStyle w:val="20"/>
        <w:numPr>
          <w:ilvl w:val="1"/>
          <w:numId w:val="9"/>
        </w:numPr>
        <w:snapToGrid w:val="0"/>
        <w:spacing w:beforeLines="0" w:afterLines="0" w:line="360" w:lineRule="auto"/>
        <w:ind w:leftChars="-67" w:left="-1" w:hangingChars="50" w:hanging="140"/>
        <w:rPr>
          <w:rFonts w:asciiTheme="minorEastAsia" w:eastAsiaTheme="minorEastAsia" w:hAnsiTheme="minorEastAsia" w:cs="Arial"/>
          <w:b w:val="0"/>
          <w:bCs/>
          <w:color w:val="000000" w:themeColor="text1"/>
        </w:rPr>
      </w:pPr>
      <w:bookmarkStart w:id="793" w:name="_Toc238870148"/>
      <w:bookmarkStart w:id="794" w:name="_Toc123705448"/>
      <w:bookmarkStart w:id="795" w:name="_Toc124749228"/>
      <w:bookmarkStart w:id="796" w:name="_Toc124749939"/>
      <w:bookmarkStart w:id="797" w:name="_Toc125361076"/>
      <w:r w:rsidRPr="00286323">
        <w:rPr>
          <w:rFonts w:asciiTheme="minorEastAsia" w:eastAsiaTheme="minorEastAsia" w:hAnsiTheme="minorEastAsia" w:cs="Arial"/>
          <w:b w:val="0"/>
          <w:bCs/>
          <w:color w:val="000000" w:themeColor="text1"/>
        </w:rPr>
        <w:t>基金管理人对基金托管人的业务核查</w:t>
      </w:r>
      <w:bookmarkEnd w:id="793"/>
      <w:bookmarkEnd w:id="794"/>
      <w:bookmarkEnd w:id="795"/>
      <w:bookmarkEnd w:id="796"/>
      <w:bookmarkEnd w:id="797"/>
    </w:p>
    <w:p w:rsidR="00591E0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w:t>
      </w:r>
      <w:r w:rsidR="00591E0B" w:rsidRPr="00286323">
        <w:rPr>
          <w:rFonts w:asciiTheme="minorEastAsia" w:eastAsiaTheme="minorEastAsia" w:hAnsiTheme="minorEastAsia" w:cs="Arial" w:hint="eastAsia"/>
          <w:color w:val="000000" w:themeColor="text1"/>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591E0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2、</w:t>
      </w:r>
      <w:r w:rsidR="00591E0B" w:rsidRPr="00286323">
        <w:rPr>
          <w:rFonts w:asciiTheme="minorEastAsia" w:eastAsiaTheme="minorEastAsia" w:hAnsiTheme="minorEastAsia" w:cs="Arial" w:hint="eastAsia"/>
          <w:color w:val="000000" w:themeColor="text1"/>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1A7CD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3、</w:t>
      </w:r>
      <w:r w:rsidR="00591E0B" w:rsidRPr="00286323">
        <w:rPr>
          <w:rFonts w:asciiTheme="minorEastAsia" w:eastAsiaTheme="minorEastAsia" w:hAnsiTheme="minorEastAsia" w:cs="Arial" w:hint="eastAsia"/>
          <w:color w:val="000000" w:themeColor="text1"/>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1A7CDB" w:rsidRPr="00286323" w:rsidRDefault="001A7CDB" w:rsidP="005F0E3E">
      <w:pPr>
        <w:pStyle w:val="20"/>
        <w:numPr>
          <w:ilvl w:val="1"/>
          <w:numId w:val="9"/>
        </w:numPr>
        <w:snapToGrid w:val="0"/>
        <w:spacing w:beforeLines="0" w:afterLines="0" w:line="360" w:lineRule="auto"/>
        <w:ind w:leftChars="-67" w:left="-1" w:hangingChars="50" w:hanging="140"/>
        <w:rPr>
          <w:rFonts w:asciiTheme="minorEastAsia" w:eastAsiaTheme="minorEastAsia" w:hAnsiTheme="minorEastAsia" w:cs="Arial"/>
          <w:b w:val="0"/>
          <w:bCs/>
          <w:color w:val="000000" w:themeColor="text1"/>
        </w:rPr>
      </w:pPr>
      <w:r w:rsidRPr="00286323">
        <w:rPr>
          <w:rFonts w:asciiTheme="minorEastAsia" w:eastAsiaTheme="minorEastAsia" w:hAnsiTheme="minorEastAsia" w:cs="Arial" w:hint="eastAsia"/>
          <w:b w:val="0"/>
          <w:bCs/>
          <w:color w:val="000000" w:themeColor="text1"/>
        </w:rPr>
        <w:t>基金财产的保管</w:t>
      </w:r>
    </w:p>
    <w:p w:rsidR="001A7CD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1、基金财产保管的原则</w:t>
      </w:r>
    </w:p>
    <w:p w:rsidR="00591E0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sz w:val="24"/>
        </w:rPr>
      </w:pPr>
      <w:r w:rsidRPr="00286323">
        <w:rPr>
          <w:rFonts w:asciiTheme="minorEastAsia" w:eastAsiaTheme="minorEastAsia" w:hAnsiTheme="minorEastAsia" w:cs="Arial" w:hint="eastAsia"/>
          <w:color w:val="000000" w:themeColor="text1"/>
        </w:rPr>
        <w:t>（1）</w:t>
      </w:r>
      <w:r w:rsidR="00591E0B" w:rsidRPr="00286323">
        <w:rPr>
          <w:rFonts w:asciiTheme="minorEastAsia" w:eastAsiaTheme="minorEastAsia" w:hAnsiTheme="minorEastAsia" w:cs="Arial" w:hint="eastAsia"/>
          <w:color w:val="000000" w:themeColor="text1"/>
        </w:rPr>
        <w:t>基金财产应独立于基金管理人、基金托管人的固有财产。</w:t>
      </w:r>
    </w:p>
    <w:p w:rsidR="001A7CD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（2）</w:t>
      </w:r>
      <w:r w:rsidR="00591E0B" w:rsidRPr="00286323">
        <w:rPr>
          <w:rFonts w:asciiTheme="minorEastAsia" w:eastAsiaTheme="minorEastAsia" w:hAnsiTheme="minorEastAsia" w:cs="Arial" w:hint="eastAsia"/>
          <w:color w:val="000000" w:themeColor="text1"/>
        </w:rPr>
        <w:t>基金托管人应安全保管基金财产。</w:t>
      </w:r>
    </w:p>
    <w:p w:rsidR="001A7CD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（3）</w:t>
      </w:r>
      <w:r w:rsidR="00591E0B" w:rsidRPr="00286323">
        <w:rPr>
          <w:rFonts w:asciiTheme="minorEastAsia" w:eastAsiaTheme="minorEastAsia" w:hAnsiTheme="minorEastAsia" w:cs="Arial" w:hint="eastAsia"/>
          <w:color w:val="000000" w:themeColor="text1"/>
        </w:rPr>
        <w:t>基金托管人按照规定开设基金财产的资金账户和证券账户。</w:t>
      </w:r>
    </w:p>
    <w:p w:rsidR="001A7CD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（4）</w:t>
      </w:r>
      <w:r w:rsidR="00591E0B" w:rsidRPr="00286323">
        <w:rPr>
          <w:rFonts w:asciiTheme="minorEastAsia" w:eastAsiaTheme="minorEastAsia" w:hAnsiTheme="minorEastAsia" w:cs="Arial" w:hint="eastAsia"/>
          <w:color w:val="000000" w:themeColor="text1"/>
        </w:rPr>
        <w:t>基金托管人对所托管的不同基金财产分别设置账户，确保基金财产的完整与独立。</w:t>
      </w:r>
    </w:p>
    <w:p w:rsidR="00591E0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（5）</w:t>
      </w:r>
      <w:r w:rsidR="00591E0B" w:rsidRPr="00286323">
        <w:rPr>
          <w:rFonts w:asciiTheme="minorEastAsia" w:eastAsiaTheme="minorEastAsia" w:hAnsiTheme="minorEastAsia" w:cs="Arial" w:hint="eastAsia"/>
          <w:color w:val="000000" w:themeColor="text1"/>
        </w:rPr>
        <w:t>基金托管人按照基金合同和本协议的约定保管基金财产，如有特殊情况双方可另行协商解决。基金托管人未经基金管理人的指令，不得自行运用、处分、分配本基金的任</w:t>
      </w:r>
      <w:r w:rsidR="00591E0B" w:rsidRPr="00286323">
        <w:rPr>
          <w:rFonts w:asciiTheme="minorEastAsia" w:eastAsiaTheme="minorEastAsia" w:hAnsiTheme="minorEastAsia" w:cs="Arial" w:hint="eastAsia"/>
          <w:color w:val="000000" w:themeColor="text1"/>
        </w:rPr>
        <w:lastRenderedPageBreak/>
        <w:t>何资产（不包含基金托管人依据中国证券登记结算有限责任公司结算数据完成场内交易交收、托管资产开户银行扣收结算费和账户维护费等费用）。</w:t>
      </w:r>
    </w:p>
    <w:p w:rsidR="001A7CD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（6）</w:t>
      </w:r>
      <w:r w:rsidR="00591E0B" w:rsidRPr="00286323">
        <w:rPr>
          <w:rFonts w:asciiTheme="minorEastAsia" w:eastAsiaTheme="minorEastAsia" w:hAnsiTheme="minorEastAsia" w:cs="Arial" w:hint="eastAsia"/>
          <w:color w:val="000000" w:themeColor="text1"/>
        </w:rPr>
        <w:t>对于因为基金投资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1A7CD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（7）</w:t>
      </w:r>
      <w:r w:rsidR="00591E0B" w:rsidRPr="00286323">
        <w:rPr>
          <w:rFonts w:asciiTheme="minorEastAsia" w:eastAsiaTheme="minorEastAsia" w:hAnsiTheme="minorEastAsia" w:cs="Arial" w:hint="eastAsia"/>
          <w:color w:val="000000" w:themeColor="text1"/>
        </w:rPr>
        <w:t>除依据法律法规和基金合同的规定外，基金托管人不得委托第三人托管基金财产。</w:t>
      </w:r>
    </w:p>
    <w:p w:rsidR="001A7CD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2、基金募集期间及募集资金的验资</w:t>
      </w:r>
    </w:p>
    <w:p w:rsidR="00591E0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w:t>
      </w:r>
      <w:r w:rsidR="00591E0B" w:rsidRPr="00286323">
        <w:rPr>
          <w:rFonts w:asciiTheme="minorEastAsia" w:eastAsiaTheme="minorEastAsia" w:hAnsiTheme="minorEastAsia" w:cs="Arial" w:hint="eastAsia"/>
          <w:color w:val="000000" w:themeColor="text1"/>
        </w:rPr>
        <w:t>基金募集期间募集的资金应存于基金管理人在基金托管人的营业机构开立的“基金募集专户”。该账户由基金管理人开立并管理。</w:t>
      </w:r>
    </w:p>
    <w:p w:rsidR="001A7CD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（2）</w:t>
      </w:r>
      <w:r w:rsidR="00591E0B" w:rsidRPr="00286323">
        <w:rPr>
          <w:rFonts w:asciiTheme="minorEastAsia" w:eastAsiaTheme="minorEastAsia" w:hAnsiTheme="minorEastAsia" w:cs="Arial" w:hint="eastAsia"/>
          <w:color w:val="000000" w:themeColor="text1"/>
        </w:rPr>
        <w:t>基金募集期满或基金停止募集时，募集的基金份额总额、基金募集金额、基金份额持有人人数符合《基金法》、《运作办法》等有关规定后，基金管理人应将募集到的基金财产的全部资金划入基金托管人为基金开立的基金托管资金账户，同时在规定时间内，聘请具有从事证券相关业务资格的会计师事务所进行验资，出具验资报告。出具的验资报告由参加验资的2名或2名以上中国注册会计师签字方为有效。</w:t>
      </w:r>
    </w:p>
    <w:p w:rsidR="00591E0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（3）</w:t>
      </w:r>
      <w:r w:rsidR="00591E0B" w:rsidRPr="00286323">
        <w:rPr>
          <w:rFonts w:asciiTheme="minorEastAsia" w:eastAsiaTheme="minorEastAsia" w:hAnsiTheme="minorEastAsia" w:cs="Arial" w:hint="eastAsia"/>
          <w:color w:val="000000" w:themeColor="text1"/>
        </w:rPr>
        <w:t>若基金募集期限届满，未能达到基金合同生效的条件，由基金管理人按规定办理退款等事宜。</w:t>
      </w:r>
    </w:p>
    <w:p w:rsidR="001A7CD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3、基金银行账户的开立和管理</w:t>
      </w:r>
    </w:p>
    <w:p w:rsidR="00591E0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w:t>
      </w:r>
      <w:r w:rsidR="00591E0B" w:rsidRPr="00286323">
        <w:rPr>
          <w:rFonts w:asciiTheme="minorEastAsia" w:eastAsiaTheme="minorEastAsia" w:hAnsiTheme="minorEastAsia" w:cs="Arial" w:hint="eastAsia"/>
          <w:color w:val="000000" w:themeColor="text1"/>
        </w:rPr>
        <w:t>基金托管人可以本基金的名义在其营业机构开立基金的银行账户，并根据基金管理人合法合规的指令办理资金收付。本基金的银行预留印鉴由基金托管人保管和使用。</w:t>
      </w:r>
    </w:p>
    <w:p w:rsidR="001A7CD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（2）</w:t>
      </w:r>
      <w:r w:rsidR="00591E0B" w:rsidRPr="00286323">
        <w:rPr>
          <w:rFonts w:asciiTheme="minorEastAsia" w:eastAsiaTheme="minorEastAsia" w:hAnsiTheme="minorEastAsia" w:cs="Arial" w:hint="eastAsia"/>
          <w:color w:val="000000" w:themeColor="text1"/>
        </w:rPr>
        <w:t>基金银行账户的开立和使用，限于满足开展本基金业务的需要。基金托管人和基金管理人不得假借本基金的名义开立任何其他银行账户；亦不得使用基金的任何账户进行本基金业务以外的活动。</w:t>
      </w:r>
    </w:p>
    <w:p w:rsidR="00591E0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（3）</w:t>
      </w:r>
      <w:r w:rsidR="00591E0B" w:rsidRPr="00286323">
        <w:rPr>
          <w:rFonts w:asciiTheme="minorEastAsia" w:eastAsiaTheme="minorEastAsia" w:hAnsiTheme="minorEastAsia" w:cs="Arial" w:hint="eastAsia"/>
          <w:color w:val="000000" w:themeColor="text1"/>
        </w:rPr>
        <w:t>基金银行账户的开立和管理应符合银行业监督管理机构的有关规定。</w:t>
      </w:r>
    </w:p>
    <w:p w:rsidR="00591E0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（4）</w:t>
      </w:r>
      <w:r w:rsidR="00591E0B" w:rsidRPr="00286323">
        <w:rPr>
          <w:rFonts w:asciiTheme="minorEastAsia" w:eastAsiaTheme="minorEastAsia" w:hAnsiTheme="minorEastAsia" w:cs="Arial" w:hint="eastAsia"/>
          <w:color w:val="000000" w:themeColor="text1"/>
        </w:rPr>
        <w:t>在符合法律法规规定的条件下，基金托管人可以通过基金托管人专用账户办理基金资产的支付。</w:t>
      </w:r>
    </w:p>
    <w:p w:rsidR="001A7CD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4、基金证券账户和结算备付金账户的开立和管理</w:t>
      </w:r>
    </w:p>
    <w:p w:rsidR="001A7CD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（1）基金托管人在中国证券登记结算有限责任公司上海分公司、深圳分公司为基金开立基金托管人与基金联名的证券账户。</w:t>
      </w:r>
    </w:p>
    <w:p w:rsidR="001A7CD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1A7CD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lastRenderedPageBreak/>
        <w:t>（3）基金证券账户的开立和证券账户卡的保管由基金托管人负责，账户资产的管理和运用由基金管理人负责。</w:t>
      </w:r>
    </w:p>
    <w:p w:rsidR="001A7CD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1A7CD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（5）若中国证监会或其他监管机构在本托管协议订立日之后允许基金从事其他投资品种的投资业务，涉及相关账户的开立、使用的，若无相关规定，则基金托管人比照上述关于账户开立、使用的规定执行。</w:t>
      </w:r>
    </w:p>
    <w:p w:rsidR="001A7CD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5、债券托管专户的开设和管理</w:t>
      </w:r>
    </w:p>
    <w:p w:rsidR="00591E0B" w:rsidRPr="00286323" w:rsidRDefault="00591E0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基金合同生效后，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rsidR="001A7CD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6、其他账户的开立和管理</w:t>
      </w:r>
    </w:p>
    <w:p w:rsidR="001A7CD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（1）因业务发展需要而开立的其他账户，可以根据法律法规和基金合同的规定，由基金托管人负责开立。新账户按有关规定使用并管理。</w:t>
      </w:r>
    </w:p>
    <w:p w:rsidR="001A7CD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（2）法律法规等有关规定对相关账户的开立和管理另有规定的，从其规定办理。</w:t>
      </w:r>
    </w:p>
    <w:p w:rsidR="001A7CD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7、基金财产投资的有关有价凭证等的保管</w:t>
      </w:r>
    </w:p>
    <w:p w:rsidR="001A7CDB" w:rsidRPr="00286323" w:rsidRDefault="00A71665"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基金财产投资的有关实物证券、银行定期存款证实书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由基金管理人和基金托管人共同办理。基金托管人对由基金托管人以外机构实际有效控制的资产不承担保管责任。</w:t>
      </w:r>
    </w:p>
    <w:p w:rsidR="001A7CD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8、与基金财产有关的重大合同的保管</w:t>
      </w:r>
    </w:p>
    <w:p w:rsidR="00A71665" w:rsidRPr="00286323" w:rsidRDefault="00A71665"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A71665" w:rsidRPr="00286323" w:rsidRDefault="00A71665"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lastRenderedPageBreak/>
        <w:t>对于无法取得二份以上的正本的，基金管理人应向基金托管人提供加盖公章的合同传真件，并对该合同的真实性承担责任，未经双方协商或未在合同约定范围内，合同原件不得转移。</w:t>
      </w:r>
    </w:p>
    <w:p w:rsidR="001A7CDB" w:rsidRPr="00286323" w:rsidRDefault="001A7CDB" w:rsidP="005F0E3E">
      <w:pPr>
        <w:pStyle w:val="20"/>
        <w:numPr>
          <w:ilvl w:val="1"/>
          <w:numId w:val="9"/>
        </w:numPr>
        <w:snapToGrid w:val="0"/>
        <w:spacing w:beforeLines="0" w:afterLines="0" w:line="360" w:lineRule="auto"/>
        <w:ind w:leftChars="-67" w:left="-1" w:hangingChars="50" w:hanging="140"/>
        <w:rPr>
          <w:rFonts w:asciiTheme="minorEastAsia" w:eastAsiaTheme="minorEastAsia" w:hAnsiTheme="minorEastAsia" w:cs="Arial"/>
          <w:b w:val="0"/>
          <w:bCs/>
          <w:color w:val="000000" w:themeColor="text1"/>
        </w:rPr>
      </w:pPr>
      <w:bookmarkStart w:id="798" w:name="_Toc238870150"/>
      <w:r w:rsidRPr="00286323">
        <w:rPr>
          <w:rFonts w:asciiTheme="minorEastAsia" w:eastAsiaTheme="minorEastAsia" w:hAnsiTheme="minorEastAsia" w:cs="Arial"/>
          <w:b w:val="0"/>
          <w:bCs/>
          <w:color w:val="000000" w:themeColor="text1"/>
        </w:rPr>
        <w:t>基金资产净值计算与复核</w:t>
      </w:r>
      <w:bookmarkEnd w:id="798"/>
    </w:p>
    <w:p w:rsidR="001A7CD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1、基金资产净值</w:t>
      </w:r>
    </w:p>
    <w:p w:rsidR="00A71665" w:rsidRPr="00286323" w:rsidRDefault="00A71665"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基金资产净值是指基金资产总值减去负债后的价值。</w:t>
      </w:r>
    </w:p>
    <w:p w:rsidR="00A71665" w:rsidRPr="00286323" w:rsidRDefault="00A71665"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基金份额净值按照每个工作日闭市后，基金资产净值除以当日基金份额总数计算，精确到0.0001元，小数点后第五位四舍五入。国家另有规定的，从其规定。</w:t>
      </w:r>
    </w:p>
    <w:p w:rsidR="00A71665" w:rsidRPr="00286323" w:rsidRDefault="00F143B8"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基金管理人每个工作日计算基金资产净值及基金份额净值，经基金托管人复核，按规定公告。</w:t>
      </w:r>
    </w:p>
    <w:p w:rsidR="001A7CD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2、复核程序</w:t>
      </w:r>
    </w:p>
    <w:p w:rsidR="001A7CDB" w:rsidRPr="00286323" w:rsidRDefault="00A71665"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基金管理人每工作日对基金资产进行估值后，将基金份额净值结果发送基金托管人，经基金托管人复核无误后，由基金管理人对外公布。</w:t>
      </w:r>
      <w:r w:rsidRPr="00286323">
        <w:rPr>
          <w:rFonts w:asciiTheme="minorEastAsia" w:eastAsiaTheme="minorEastAsia" w:hAnsiTheme="minorEastAsia" w:cs="Arial" w:hint="eastAsia"/>
          <w:bCs/>
          <w:color w:val="000000" w:themeColor="text1"/>
        </w:rPr>
        <w:t>但基金管理人根据法律法规或基金合同的规定暂停估值时除外。</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sz w:val="24"/>
        </w:rPr>
      </w:pPr>
      <w:r w:rsidRPr="00286323">
        <w:rPr>
          <w:rFonts w:asciiTheme="minorEastAsia" w:eastAsiaTheme="minorEastAsia" w:hAnsiTheme="minorEastAsia" w:cs="Arial" w:hint="eastAsia"/>
          <w:color w:val="000000" w:themeColor="text1"/>
        </w:rPr>
        <w:t>3、</w:t>
      </w:r>
      <w:r w:rsidR="00A71665" w:rsidRPr="00286323">
        <w:rPr>
          <w:rFonts w:asciiTheme="minorEastAsia" w:eastAsiaTheme="minorEastAsia" w:hAnsiTheme="minorEastAsia" w:cs="Arial" w:hint="eastAsia"/>
          <w:color w:val="000000" w:themeColor="text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1A7CDB" w:rsidRPr="00286323" w:rsidRDefault="001A7CDB" w:rsidP="005F0E3E">
      <w:pPr>
        <w:pStyle w:val="20"/>
        <w:numPr>
          <w:ilvl w:val="1"/>
          <w:numId w:val="9"/>
        </w:numPr>
        <w:snapToGrid w:val="0"/>
        <w:spacing w:beforeLines="0" w:afterLines="0" w:line="360" w:lineRule="auto"/>
        <w:ind w:leftChars="-67" w:left="-1" w:hangingChars="50" w:hanging="140"/>
        <w:rPr>
          <w:rFonts w:asciiTheme="minorEastAsia" w:eastAsiaTheme="minorEastAsia" w:hAnsiTheme="minorEastAsia" w:cs="Arial"/>
          <w:b w:val="0"/>
          <w:bCs/>
          <w:color w:val="000000" w:themeColor="text1"/>
        </w:rPr>
      </w:pPr>
      <w:bookmarkStart w:id="799" w:name="_Toc238870151"/>
      <w:r w:rsidRPr="00286323">
        <w:rPr>
          <w:rFonts w:asciiTheme="minorEastAsia" w:eastAsiaTheme="minorEastAsia" w:hAnsiTheme="minorEastAsia" w:cs="Arial"/>
          <w:b w:val="0"/>
          <w:bCs/>
          <w:color w:val="000000" w:themeColor="text1"/>
        </w:rPr>
        <w:t>基金份额持有人名册的保管</w:t>
      </w:r>
      <w:bookmarkEnd w:id="799"/>
    </w:p>
    <w:p w:rsidR="00A71665" w:rsidRPr="00286323" w:rsidRDefault="00A71665"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2F2BD2" w:rsidRPr="00286323" w:rsidRDefault="002F2BD2" w:rsidP="006D6AC5">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在基金托管人要求或编制中期报告和年度报告前，基金管理人应按照基金托管人的要求将有关资料送交基金托管人，不得无故拒绝或延误提供，并保证其的真实性、准确性和完整性。基金托管人不得将所保管的基金份额持有人名册用于基金托管业务以外的其他用途，并应遵守保密义务。</w:t>
      </w:r>
    </w:p>
    <w:p w:rsidR="001A7CDB" w:rsidRPr="00286323" w:rsidRDefault="001A7CDB" w:rsidP="005F0E3E">
      <w:pPr>
        <w:pStyle w:val="20"/>
        <w:numPr>
          <w:ilvl w:val="1"/>
          <w:numId w:val="9"/>
        </w:numPr>
        <w:snapToGrid w:val="0"/>
        <w:spacing w:beforeLines="0" w:afterLines="0" w:line="360" w:lineRule="auto"/>
        <w:ind w:leftChars="-67" w:left="-1" w:hangingChars="50" w:hanging="140"/>
        <w:rPr>
          <w:rFonts w:asciiTheme="minorEastAsia" w:eastAsiaTheme="minorEastAsia" w:hAnsiTheme="minorEastAsia" w:cs="Arial"/>
          <w:b w:val="0"/>
          <w:bCs/>
          <w:color w:val="000000" w:themeColor="text1"/>
        </w:rPr>
      </w:pPr>
      <w:bookmarkStart w:id="800" w:name="_Toc238870152"/>
      <w:r w:rsidRPr="00286323">
        <w:rPr>
          <w:rFonts w:asciiTheme="minorEastAsia" w:eastAsiaTheme="minorEastAsia" w:hAnsiTheme="minorEastAsia" w:cs="Arial"/>
          <w:b w:val="0"/>
          <w:bCs/>
          <w:color w:val="000000" w:themeColor="text1"/>
        </w:rPr>
        <w:t>争议解决方式</w:t>
      </w:r>
      <w:bookmarkEnd w:id="800"/>
    </w:p>
    <w:p w:rsidR="00A71665" w:rsidRPr="00286323" w:rsidRDefault="00A71665"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A71665" w:rsidRPr="00286323" w:rsidRDefault="00A71665"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lastRenderedPageBreak/>
        <w:t>争议处理期间，双方当事人应恪守基金管理人和基金托管人职责，各自继续忠实、勤勉、尽责地履行基金合同和本托管协议规定的义务，维护基金份额持有人的合法权益。</w:t>
      </w:r>
    </w:p>
    <w:p w:rsidR="00A71665" w:rsidRPr="00286323" w:rsidRDefault="00A71665"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本协议受中国法律管辖。</w:t>
      </w:r>
    </w:p>
    <w:p w:rsidR="001A7CDB" w:rsidRPr="00286323" w:rsidRDefault="001A7CDB" w:rsidP="005F0E3E">
      <w:pPr>
        <w:pStyle w:val="20"/>
        <w:numPr>
          <w:ilvl w:val="1"/>
          <w:numId w:val="9"/>
        </w:numPr>
        <w:snapToGrid w:val="0"/>
        <w:spacing w:beforeLines="0" w:afterLines="0" w:line="360" w:lineRule="auto"/>
        <w:ind w:leftChars="-67" w:left="142" w:hangingChars="101" w:hanging="283"/>
        <w:rPr>
          <w:rFonts w:asciiTheme="minorEastAsia" w:eastAsiaTheme="minorEastAsia" w:hAnsiTheme="minorEastAsia" w:cs="Arial"/>
          <w:b w:val="0"/>
          <w:bCs/>
          <w:color w:val="000000" w:themeColor="text1"/>
          <w:sz w:val="21"/>
        </w:rPr>
      </w:pPr>
      <w:bookmarkStart w:id="801" w:name="_Toc238870153"/>
      <w:r w:rsidRPr="00286323">
        <w:rPr>
          <w:rFonts w:asciiTheme="minorEastAsia" w:eastAsiaTheme="minorEastAsia" w:hAnsiTheme="minorEastAsia" w:cs="Arial"/>
          <w:b w:val="0"/>
          <w:bCs/>
          <w:color w:val="000000" w:themeColor="text1"/>
        </w:rPr>
        <w:t>托管协议的变更与终止</w:t>
      </w:r>
      <w:bookmarkEnd w:id="801"/>
    </w:p>
    <w:p w:rsidR="001A7CD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1、托管协议的变更程序</w:t>
      </w:r>
    </w:p>
    <w:p w:rsidR="00A71665" w:rsidRPr="00286323" w:rsidRDefault="00A71665"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本协议双方当事人经协商一致，可以对协议进行修改。修改后的新协议，其内容不得与基金合同的规定有任何冲突。</w:t>
      </w:r>
    </w:p>
    <w:p w:rsidR="001A7CD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2、基金托管协议终止出现的情形</w:t>
      </w:r>
    </w:p>
    <w:p w:rsidR="001A7CD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（1）基金合同终止；</w:t>
      </w:r>
    </w:p>
    <w:p w:rsidR="001A7CD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（2）基金托管人解散、依法被撤销、破产或由其他基金托管人接管基金资产；</w:t>
      </w:r>
    </w:p>
    <w:p w:rsidR="001A7CD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（3）基金管理人解散、依法被撤销、破产或由其他基金管理人接管基金管理权；</w:t>
      </w:r>
    </w:p>
    <w:p w:rsidR="001A7CDB" w:rsidRPr="00286323" w:rsidRDefault="001A7CDB" w:rsidP="00F71D3B">
      <w:pPr>
        <w:adjustRightInd w:val="0"/>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（4）发生法律法规或基金合同规定的终止事项。</w:t>
      </w:r>
    </w:p>
    <w:p w:rsidR="001A7CDB" w:rsidRPr="00286323" w:rsidRDefault="001A7CDB" w:rsidP="00F71D3B">
      <w:pPr>
        <w:pStyle w:val="11"/>
        <w:numPr>
          <w:ilvl w:val="0"/>
          <w:numId w:val="9"/>
        </w:numPr>
        <w:snapToGrid w:val="0"/>
        <w:spacing w:beforeLines="0" w:afterLines="0" w:line="360" w:lineRule="auto"/>
        <w:ind w:firstLineChars="0"/>
        <w:rPr>
          <w:rFonts w:asciiTheme="minorEastAsia" w:eastAsiaTheme="minorEastAsia" w:hAnsiTheme="minorEastAsia" w:cs="Arial"/>
          <w:bCs/>
          <w:color w:val="000000" w:themeColor="text1"/>
        </w:rPr>
      </w:pPr>
      <w:bookmarkStart w:id="802" w:name="_Toc38438238"/>
      <w:bookmarkStart w:id="803" w:name="_Toc38438575"/>
      <w:bookmarkStart w:id="804" w:name="_Toc38438912"/>
      <w:bookmarkStart w:id="805" w:name="_Toc38439249"/>
      <w:bookmarkStart w:id="806" w:name="_Toc38439586"/>
      <w:bookmarkStart w:id="807" w:name="_Toc38439923"/>
      <w:bookmarkStart w:id="808" w:name="_Toc38440260"/>
      <w:bookmarkStart w:id="809" w:name="_Toc38440597"/>
      <w:bookmarkStart w:id="810" w:name="_Toc38440796"/>
      <w:bookmarkStart w:id="811" w:name="_Toc38441129"/>
      <w:bookmarkStart w:id="812" w:name="_Toc38441461"/>
      <w:bookmarkStart w:id="813" w:name="_Toc38441793"/>
      <w:bookmarkStart w:id="814" w:name="_Toc38442121"/>
      <w:bookmarkStart w:id="815" w:name="_Toc38442453"/>
      <w:bookmarkStart w:id="816" w:name="_Toc38442785"/>
      <w:bookmarkStart w:id="817" w:name="_Toc38443116"/>
      <w:bookmarkStart w:id="818" w:name="_Toc38443447"/>
      <w:bookmarkStart w:id="819" w:name="_Toc38443778"/>
      <w:bookmarkStart w:id="820" w:name="_Toc38438239"/>
      <w:bookmarkStart w:id="821" w:name="_Toc38438576"/>
      <w:bookmarkStart w:id="822" w:name="_Toc38438913"/>
      <w:bookmarkStart w:id="823" w:name="_Toc38439250"/>
      <w:bookmarkStart w:id="824" w:name="_Toc38439587"/>
      <w:bookmarkStart w:id="825" w:name="_Toc38439924"/>
      <w:bookmarkStart w:id="826" w:name="_Toc38440261"/>
      <w:bookmarkStart w:id="827" w:name="_Toc38440598"/>
      <w:bookmarkStart w:id="828" w:name="_Toc38440797"/>
      <w:bookmarkStart w:id="829" w:name="_Toc38441130"/>
      <w:bookmarkStart w:id="830" w:name="_Toc38441462"/>
      <w:bookmarkStart w:id="831" w:name="_Toc38441794"/>
      <w:bookmarkStart w:id="832" w:name="_Toc38442122"/>
      <w:bookmarkStart w:id="833" w:name="_Toc38442454"/>
      <w:bookmarkStart w:id="834" w:name="_Toc38442786"/>
      <w:bookmarkStart w:id="835" w:name="_Toc38443117"/>
      <w:bookmarkStart w:id="836" w:name="_Toc38443448"/>
      <w:bookmarkStart w:id="837" w:name="_Toc38443779"/>
      <w:bookmarkStart w:id="838" w:name="_Toc38438240"/>
      <w:bookmarkStart w:id="839" w:name="_Toc38438577"/>
      <w:bookmarkStart w:id="840" w:name="_Toc38438914"/>
      <w:bookmarkStart w:id="841" w:name="_Toc38439251"/>
      <w:bookmarkStart w:id="842" w:name="_Toc38439588"/>
      <w:bookmarkStart w:id="843" w:name="_Toc38439925"/>
      <w:bookmarkStart w:id="844" w:name="_Toc38440262"/>
      <w:bookmarkStart w:id="845" w:name="_Toc38440599"/>
      <w:bookmarkStart w:id="846" w:name="_Toc38440798"/>
      <w:bookmarkStart w:id="847" w:name="_Toc38441131"/>
      <w:bookmarkStart w:id="848" w:name="_Toc38441463"/>
      <w:bookmarkStart w:id="849" w:name="_Toc38441795"/>
      <w:bookmarkStart w:id="850" w:name="_Toc38442123"/>
      <w:bookmarkStart w:id="851" w:name="_Toc38442455"/>
      <w:bookmarkStart w:id="852" w:name="_Toc38442787"/>
      <w:bookmarkStart w:id="853" w:name="_Toc38443118"/>
      <w:bookmarkStart w:id="854" w:name="_Toc38443449"/>
      <w:bookmarkStart w:id="855" w:name="_Toc38443780"/>
      <w:bookmarkStart w:id="856" w:name="_Toc38438241"/>
      <w:bookmarkStart w:id="857" w:name="_Toc38438578"/>
      <w:bookmarkStart w:id="858" w:name="_Toc38438915"/>
      <w:bookmarkStart w:id="859" w:name="_Toc38439252"/>
      <w:bookmarkStart w:id="860" w:name="_Toc38439589"/>
      <w:bookmarkStart w:id="861" w:name="_Toc38439926"/>
      <w:bookmarkStart w:id="862" w:name="_Toc38440263"/>
      <w:bookmarkStart w:id="863" w:name="_Toc38440600"/>
      <w:bookmarkStart w:id="864" w:name="_Toc38440799"/>
      <w:bookmarkStart w:id="865" w:name="_Toc38441132"/>
      <w:bookmarkStart w:id="866" w:name="_Toc38441464"/>
      <w:bookmarkStart w:id="867" w:name="_Toc38441796"/>
      <w:bookmarkStart w:id="868" w:name="_Toc38442124"/>
      <w:bookmarkStart w:id="869" w:name="_Toc38442456"/>
      <w:bookmarkStart w:id="870" w:name="_Toc38442788"/>
      <w:bookmarkStart w:id="871" w:name="_Toc38443119"/>
      <w:bookmarkStart w:id="872" w:name="_Toc38443450"/>
      <w:bookmarkStart w:id="873" w:name="_Toc38443781"/>
      <w:bookmarkStart w:id="874" w:name="_Toc38438242"/>
      <w:bookmarkStart w:id="875" w:name="_Toc38438579"/>
      <w:bookmarkStart w:id="876" w:name="_Toc38438916"/>
      <w:bookmarkStart w:id="877" w:name="_Toc38439253"/>
      <w:bookmarkStart w:id="878" w:name="_Toc38439590"/>
      <w:bookmarkStart w:id="879" w:name="_Toc38439927"/>
      <w:bookmarkStart w:id="880" w:name="_Toc38440264"/>
      <w:bookmarkStart w:id="881" w:name="_Toc38440601"/>
      <w:bookmarkStart w:id="882" w:name="_Toc38440800"/>
      <w:bookmarkStart w:id="883" w:name="_Toc38441133"/>
      <w:bookmarkStart w:id="884" w:name="_Toc38441465"/>
      <w:bookmarkStart w:id="885" w:name="_Toc38441797"/>
      <w:bookmarkStart w:id="886" w:name="_Toc38442125"/>
      <w:bookmarkStart w:id="887" w:name="_Toc38442457"/>
      <w:bookmarkStart w:id="888" w:name="_Toc38442789"/>
      <w:bookmarkStart w:id="889" w:name="_Toc38443120"/>
      <w:bookmarkStart w:id="890" w:name="_Toc38443451"/>
      <w:bookmarkStart w:id="891" w:name="_Toc38443782"/>
      <w:bookmarkStart w:id="892" w:name="_Toc38438243"/>
      <w:bookmarkStart w:id="893" w:name="_Toc38438580"/>
      <w:bookmarkStart w:id="894" w:name="_Toc38438917"/>
      <w:bookmarkStart w:id="895" w:name="_Toc38439254"/>
      <w:bookmarkStart w:id="896" w:name="_Toc38439591"/>
      <w:bookmarkStart w:id="897" w:name="_Toc38439928"/>
      <w:bookmarkStart w:id="898" w:name="_Toc38440265"/>
      <w:bookmarkStart w:id="899" w:name="_Toc38440602"/>
      <w:bookmarkStart w:id="900" w:name="_Toc38440801"/>
      <w:bookmarkStart w:id="901" w:name="_Toc38441134"/>
      <w:bookmarkStart w:id="902" w:name="_Toc38441466"/>
      <w:bookmarkStart w:id="903" w:name="_Toc38441798"/>
      <w:bookmarkStart w:id="904" w:name="_Toc38442126"/>
      <w:bookmarkStart w:id="905" w:name="_Toc38442458"/>
      <w:bookmarkStart w:id="906" w:name="_Toc38442790"/>
      <w:bookmarkStart w:id="907" w:name="_Toc38443121"/>
      <w:bookmarkStart w:id="908" w:name="_Toc38443452"/>
      <w:bookmarkStart w:id="909" w:name="_Toc38443783"/>
      <w:bookmarkStart w:id="910" w:name="_Toc38438244"/>
      <w:bookmarkStart w:id="911" w:name="_Toc38438581"/>
      <w:bookmarkStart w:id="912" w:name="_Toc38438918"/>
      <w:bookmarkStart w:id="913" w:name="_Toc38439255"/>
      <w:bookmarkStart w:id="914" w:name="_Toc38439592"/>
      <w:bookmarkStart w:id="915" w:name="_Toc38439929"/>
      <w:bookmarkStart w:id="916" w:name="_Toc38440266"/>
      <w:bookmarkStart w:id="917" w:name="_Toc38440603"/>
      <w:bookmarkStart w:id="918" w:name="_Toc38440802"/>
      <w:bookmarkStart w:id="919" w:name="_Toc38441135"/>
      <w:bookmarkStart w:id="920" w:name="_Toc38441467"/>
      <w:bookmarkStart w:id="921" w:name="_Toc38441799"/>
      <w:bookmarkStart w:id="922" w:name="_Toc38442127"/>
      <w:bookmarkStart w:id="923" w:name="_Toc38442459"/>
      <w:bookmarkStart w:id="924" w:name="_Toc38442791"/>
      <w:bookmarkStart w:id="925" w:name="_Toc38443122"/>
      <w:bookmarkStart w:id="926" w:name="_Toc38443453"/>
      <w:bookmarkStart w:id="927" w:name="_Toc38443784"/>
      <w:bookmarkStart w:id="928" w:name="_Toc38438245"/>
      <w:bookmarkStart w:id="929" w:name="_Toc38438582"/>
      <w:bookmarkStart w:id="930" w:name="_Toc38438919"/>
      <w:bookmarkStart w:id="931" w:name="_Toc38439256"/>
      <w:bookmarkStart w:id="932" w:name="_Toc38439593"/>
      <w:bookmarkStart w:id="933" w:name="_Toc38439930"/>
      <w:bookmarkStart w:id="934" w:name="_Toc38440267"/>
      <w:bookmarkStart w:id="935" w:name="_Toc38440604"/>
      <w:bookmarkStart w:id="936" w:name="_Toc38440803"/>
      <w:bookmarkStart w:id="937" w:name="_Toc38441136"/>
      <w:bookmarkStart w:id="938" w:name="_Toc38441468"/>
      <w:bookmarkStart w:id="939" w:name="_Toc38441800"/>
      <w:bookmarkStart w:id="940" w:name="_Toc38442128"/>
      <w:bookmarkStart w:id="941" w:name="_Toc38442460"/>
      <w:bookmarkStart w:id="942" w:name="_Toc38442792"/>
      <w:bookmarkStart w:id="943" w:name="_Toc38443123"/>
      <w:bookmarkStart w:id="944" w:name="_Toc38443454"/>
      <w:bookmarkStart w:id="945" w:name="_Toc38443785"/>
      <w:bookmarkStart w:id="946" w:name="_Toc38438246"/>
      <w:bookmarkStart w:id="947" w:name="_Toc38438583"/>
      <w:bookmarkStart w:id="948" w:name="_Toc38438920"/>
      <w:bookmarkStart w:id="949" w:name="_Toc38439257"/>
      <w:bookmarkStart w:id="950" w:name="_Toc38439594"/>
      <w:bookmarkStart w:id="951" w:name="_Toc38439931"/>
      <w:bookmarkStart w:id="952" w:name="_Toc38440268"/>
      <w:bookmarkStart w:id="953" w:name="_Toc38440605"/>
      <w:bookmarkStart w:id="954" w:name="_Toc38440804"/>
      <w:bookmarkStart w:id="955" w:name="_Toc38441137"/>
      <w:bookmarkStart w:id="956" w:name="_Toc38441469"/>
      <w:bookmarkStart w:id="957" w:name="_Toc38441801"/>
      <w:bookmarkStart w:id="958" w:name="_Toc38442129"/>
      <w:bookmarkStart w:id="959" w:name="_Toc38442461"/>
      <w:bookmarkStart w:id="960" w:name="_Toc38442793"/>
      <w:bookmarkStart w:id="961" w:name="_Toc38443124"/>
      <w:bookmarkStart w:id="962" w:name="_Toc38443455"/>
      <w:bookmarkStart w:id="963" w:name="_Toc38443786"/>
      <w:bookmarkStart w:id="964" w:name="_Toc38438247"/>
      <w:bookmarkStart w:id="965" w:name="_Toc38438584"/>
      <w:bookmarkStart w:id="966" w:name="_Toc38438921"/>
      <w:bookmarkStart w:id="967" w:name="_Toc38439258"/>
      <w:bookmarkStart w:id="968" w:name="_Toc38439595"/>
      <w:bookmarkStart w:id="969" w:name="_Toc38439932"/>
      <w:bookmarkStart w:id="970" w:name="_Toc38440269"/>
      <w:bookmarkStart w:id="971" w:name="_Toc38440606"/>
      <w:bookmarkStart w:id="972" w:name="_Toc38440805"/>
      <w:bookmarkStart w:id="973" w:name="_Toc38441138"/>
      <w:bookmarkStart w:id="974" w:name="_Toc38441470"/>
      <w:bookmarkStart w:id="975" w:name="_Toc38441802"/>
      <w:bookmarkStart w:id="976" w:name="_Toc38442130"/>
      <w:bookmarkStart w:id="977" w:name="_Toc38442462"/>
      <w:bookmarkStart w:id="978" w:name="_Toc38442794"/>
      <w:bookmarkStart w:id="979" w:name="_Toc38443125"/>
      <w:bookmarkStart w:id="980" w:name="_Toc38443456"/>
      <w:bookmarkStart w:id="981" w:name="_Toc38443787"/>
      <w:bookmarkStart w:id="982" w:name="_Toc38438248"/>
      <w:bookmarkStart w:id="983" w:name="_Toc38438585"/>
      <w:bookmarkStart w:id="984" w:name="_Toc38438922"/>
      <w:bookmarkStart w:id="985" w:name="_Toc38439259"/>
      <w:bookmarkStart w:id="986" w:name="_Toc38439596"/>
      <w:bookmarkStart w:id="987" w:name="_Toc38439933"/>
      <w:bookmarkStart w:id="988" w:name="_Toc38440270"/>
      <w:bookmarkStart w:id="989" w:name="_Toc38440607"/>
      <w:bookmarkStart w:id="990" w:name="_Toc38440806"/>
      <w:bookmarkStart w:id="991" w:name="_Toc38441139"/>
      <w:bookmarkStart w:id="992" w:name="_Toc38441471"/>
      <w:bookmarkStart w:id="993" w:name="_Toc38441803"/>
      <w:bookmarkStart w:id="994" w:name="_Toc38442131"/>
      <w:bookmarkStart w:id="995" w:name="_Toc38442463"/>
      <w:bookmarkStart w:id="996" w:name="_Toc38442795"/>
      <w:bookmarkStart w:id="997" w:name="_Toc38443126"/>
      <w:bookmarkStart w:id="998" w:name="_Toc38443457"/>
      <w:bookmarkStart w:id="999" w:name="_Toc38443788"/>
      <w:bookmarkStart w:id="1000" w:name="_Toc38438249"/>
      <w:bookmarkStart w:id="1001" w:name="_Toc38438586"/>
      <w:bookmarkStart w:id="1002" w:name="_Toc38438923"/>
      <w:bookmarkStart w:id="1003" w:name="_Toc38439260"/>
      <w:bookmarkStart w:id="1004" w:name="_Toc38439597"/>
      <w:bookmarkStart w:id="1005" w:name="_Toc38439934"/>
      <w:bookmarkStart w:id="1006" w:name="_Toc38440271"/>
      <w:bookmarkStart w:id="1007" w:name="_Toc38440608"/>
      <w:bookmarkStart w:id="1008" w:name="_Toc38440807"/>
      <w:bookmarkStart w:id="1009" w:name="_Toc38441140"/>
      <w:bookmarkStart w:id="1010" w:name="_Toc38441472"/>
      <w:bookmarkStart w:id="1011" w:name="_Toc38441804"/>
      <w:bookmarkStart w:id="1012" w:name="_Toc38442132"/>
      <w:bookmarkStart w:id="1013" w:name="_Toc38442464"/>
      <w:bookmarkStart w:id="1014" w:name="_Toc38442796"/>
      <w:bookmarkStart w:id="1015" w:name="_Toc38443127"/>
      <w:bookmarkStart w:id="1016" w:name="_Toc38443458"/>
      <w:bookmarkStart w:id="1017" w:name="_Toc38443789"/>
      <w:bookmarkStart w:id="1018" w:name="_Toc38438250"/>
      <w:bookmarkStart w:id="1019" w:name="_Toc38438587"/>
      <w:bookmarkStart w:id="1020" w:name="_Toc38438924"/>
      <w:bookmarkStart w:id="1021" w:name="_Toc38439261"/>
      <w:bookmarkStart w:id="1022" w:name="_Toc38439598"/>
      <w:bookmarkStart w:id="1023" w:name="_Toc38439935"/>
      <w:bookmarkStart w:id="1024" w:name="_Toc38440272"/>
      <w:bookmarkStart w:id="1025" w:name="_Toc38440609"/>
      <w:bookmarkStart w:id="1026" w:name="_Toc38440808"/>
      <w:bookmarkStart w:id="1027" w:name="_Toc38441141"/>
      <w:bookmarkStart w:id="1028" w:name="_Toc38441473"/>
      <w:bookmarkStart w:id="1029" w:name="_Toc38441805"/>
      <w:bookmarkStart w:id="1030" w:name="_Toc38442133"/>
      <w:bookmarkStart w:id="1031" w:name="_Toc38442465"/>
      <w:bookmarkStart w:id="1032" w:name="_Toc38442797"/>
      <w:bookmarkStart w:id="1033" w:name="_Toc38443128"/>
      <w:bookmarkStart w:id="1034" w:name="_Toc38443459"/>
      <w:bookmarkStart w:id="1035" w:name="_Toc38443790"/>
      <w:bookmarkStart w:id="1036" w:name="_Toc38438251"/>
      <w:bookmarkStart w:id="1037" w:name="_Toc38438588"/>
      <w:bookmarkStart w:id="1038" w:name="_Toc38438925"/>
      <w:bookmarkStart w:id="1039" w:name="_Toc38439262"/>
      <w:bookmarkStart w:id="1040" w:name="_Toc38439599"/>
      <w:bookmarkStart w:id="1041" w:name="_Toc38439936"/>
      <w:bookmarkStart w:id="1042" w:name="_Toc38440273"/>
      <w:bookmarkStart w:id="1043" w:name="_Toc38440610"/>
      <w:bookmarkStart w:id="1044" w:name="_Toc38440809"/>
      <w:bookmarkStart w:id="1045" w:name="_Toc38441142"/>
      <w:bookmarkStart w:id="1046" w:name="_Toc38441474"/>
      <w:bookmarkStart w:id="1047" w:name="_Toc38441806"/>
      <w:bookmarkStart w:id="1048" w:name="_Toc38442134"/>
      <w:bookmarkStart w:id="1049" w:name="_Toc38442466"/>
      <w:bookmarkStart w:id="1050" w:name="_Toc38442798"/>
      <w:bookmarkStart w:id="1051" w:name="_Toc38443129"/>
      <w:bookmarkStart w:id="1052" w:name="_Toc38443460"/>
      <w:bookmarkStart w:id="1053" w:name="_Toc38443791"/>
      <w:bookmarkStart w:id="1054" w:name="_Toc38438252"/>
      <w:bookmarkStart w:id="1055" w:name="_Toc38438589"/>
      <w:bookmarkStart w:id="1056" w:name="_Toc38438926"/>
      <w:bookmarkStart w:id="1057" w:name="_Toc38439263"/>
      <w:bookmarkStart w:id="1058" w:name="_Toc38439600"/>
      <w:bookmarkStart w:id="1059" w:name="_Toc38439937"/>
      <w:bookmarkStart w:id="1060" w:name="_Toc38440274"/>
      <w:bookmarkStart w:id="1061" w:name="_Toc38440611"/>
      <w:bookmarkStart w:id="1062" w:name="_Toc38440810"/>
      <w:bookmarkStart w:id="1063" w:name="_Toc38441143"/>
      <w:bookmarkStart w:id="1064" w:name="_Toc38441475"/>
      <w:bookmarkStart w:id="1065" w:name="_Toc38441807"/>
      <w:bookmarkStart w:id="1066" w:name="_Toc38442135"/>
      <w:bookmarkStart w:id="1067" w:name="_Toc38442467"/>
      <w:bookmarkStart w:id="1068" w:name="_Toc38442799"/>
      <w:bookmarkStart w:id="1069" w:name="_Toc38443130"/>
      <w:bookmarkStart w:id="1070" w:name="_Toc38443461"/>
      <w:bookmarkStart w:id="1071" w:name="_Toc38443792"/>
      <w:bookmarkStart w:id="1072" w:name="_Toc38438253"/>
      <w:bookmarkStart w:id="1073" w:name="_Toc38438590"/>
      <w:bookmarkStart w:id="1074" w:name="_Toc38438927"/>
      <w:bookmarkStart w:id="1075" w:name="_Toc38439264"/>
      <w:bookmarkStart w:id="1076" w:name="_Toc38439601"/>
      <w:bookmarkStart w:id="1077" w:name="_Toc38439938"/>
      <w:bookmarkStart w:id="1078" w:name="_Toc38440275"/>
      <w:bookmarkStart w:id="1079" w:name="_Toc38440612"/>
      <w:bookmarkStart w:id="1080" w:name="_Toc38440811"/>
      <w:bookmarkStart w:id="1081" w:name="_Toc38441144"/>
      <w:bookmarkStart w:id="1082" w:name="_Toc38441476"/>
      <w:bookmarkStart w:id="1083" w:name="_Toc38441808"/>
      <w:bookmarkStart w:id="1084" w:name="_Toc38442136"/>
      <w:bookmarkStart w:id="1085" w:name="_Toc38442468"/>
      <w:bookmarkStart w:id="1086" w:name="_Toc38442800"/>
      <w:bookmarkStart w:id="1087" w:name="_Toc38443131"/>
      <w:bookmarkStart w:id="1088" w:name="_Toc38443462"/>
      <w:bookmarkStart w:id="1089" w:name="_Toc38443793"/>
      <w:bookmarkStart w:id="1090" w:name="_Toc38438254"/>
      <w:bookmarkStart w:id="1091" w:name="_Toc38438591"/>
      <w:bookmarkStart w:id="1092" w:name="_Toc38438928"/>
      <w:bookmarkStart w:id="1093" w:name="_Toc38439265"/>
      <w:bookmarkStart w:id="1094" w:name="_Toc38439602"/>
      <w:bookmarkStart w:id="1095" w:name="_Toc38439939"/>
      <w:bookmarkStart w:id="1096" w:name="_Toc38440276"/>
      <w:bookmarkStart w:id="1097" w:name="_Toc38440613"/>
      <w:bookmarkStart w:id="1098" w:name="_Toc38440812"/>
      <w:bookmarkStart w:id="1099" w:name="_Toc38441145"/>
      <w:bookmarkStart w:id="1100" w:name="_Toc38441477"/>
      <w:bookmarkStart w:id="1101" w:name="_Toc38441809"/>
      <w:bookmarkStart w:id="1102" w:name="_Toc38442137"/>
      <w:bookmarkStart w:id="1103" w:name="_Toc38442469"/>
      <w:bookmarkStart w:id="1104" w:name="_Toc38442801"/>
      <w:bookmarkStart w:id="1105" w:name="_Toc38443132"/>
      <w:bookmarkStart w:id="1106" w:name="_Toc38443463"/>
      <w:bookmarkStart w:id="1107" w:name="_Toc38443794"/>
      <w:bookmarkStart w:id="1108" w:name="_Toc81922657"/>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r w:rsidRPr="00286323">
        <w:rPr>
          <w:rFonts w:asciiTheme="minorEastAsia" w:eastAsiaTheme="minorEastAsia" w:hAnsiTheme="minorEastAsia" w:cs="Arial" w:hint="eastAsia"/>
          <w:bCs/>
          <w:color w:val="000000" w:themeColor="text1"/>
        </w:rPr>
        <w:lastRenderedPageBreak/>
        <w:t>对基金份额持有人的服务</w:t>
      </w:r>
      <w:bookmarkStart w:id="1109" w:name="_Toc38186634"/>
      <w:bookmarkEnd w:id="1108"/>
    </w:p>
    <w:p w:rsidR="001A7CDB" w:rsidRPr="00286323" w:rsidRDefault="001A7CDB" w:rsidP="00F71D3B">
      <w:pPr>
        <w:pStyle w:val="ac"/>
        <w:autoSpaceDE w:val="0"/>
        <w:autoSpaceDN w:val="0"/>
        <w:adjustRightInd w:val="0"/>
        <w:snapToGrid w:val="0"/>
        <w:spacing w:after="0" w:line="360" w:lineRule="auto"/>
        <w:ind w:firstLineChars="200"/>
        <w:rPr>
          <w:rFonts w:asciiTheme="minorEastAsia" w:eastAsiaTheme="minorEastAsia" w:hAnsiTheme="minorEastAsia" w:cs="Arial"/>
          <w:color w:val="000000" w:themeColor="text1"/>
          <w:szCs w:val="21"/>
        </w:rPr>
      </w:pPr>
      <w:r w:rsidRPr="00286323">
        <w:rPr>
          <w:rFonts w:asciiTheme="minorEastAsia" w:eastAsiaTheme="minorEastAsia" w:hAnsiTheme="minorEastAsia" w:cs="Arial"/>
          <w:color w:val="000000" w:themeColor="text1"/>
          <w:szCs w:val="21"/>
        </w:rPr>
        <w:t>基金管理人承诺为基金份额持有人提供一系列的服务。以下是主要的服务内容，基金管理人根据基金份额持有人的需要和市场的变化，有权增加、修改这些服务项目：</w:t>
      </w:r>
    </w:p>
    <w:p w:rsidR="001A7CDB" w:rsidRPr="00286323" w:rsidRDefault="001A7CDB" w:rsidP="00F71D3B">
      <w:pPr>
        <w:pStyle w:val="20"/>
        <w:snapToGrid w:val="0"/>
        <w:spacing w:beforeLines="0" w:afterLines="0" w:line="360" w:lineRule="auto"/>
        <w:ind w:firstLineChars="0" w:firstLine="0"/>
        <w:rPr>
          <w:rFonts w:asciiTheme="minorEastAsia" w:eastAsiaTheme="minorEastAsia" w:hAnsiTheme="minorEastAsia" w:cs="Arial"/>
          <w:b w:val="0"/>
          <w:bCs/>
          <w:color w:val="000000" w:themeColor="text1"/>
        </w:rPr>
      </w:pPr>
      <w:r w:rsidRPr="00286323">
        <w:rPr>
          <w:rFonts w:asciiTheme="minorEastAsia" w:eastAsiaTheme="minorEastAsia" w:hAnsiTheme="minorEastAsia" w:cs="Arial"/>
          <w:b w:val="0"/>
          <w:bCs/>
          <w:color w:val="000000" w:themeColor="text1"/>
        </w:rPr>
        <w:t>（一）基金份额持有人投资交易确认服务</w:t>
      </w:r>
    </w:p>
    <w:p w:rsidR="001A7CDB" w:rsidRPr="00286323" w:rsidRDefault="001A7CDB" w:rsidP="00F71D3B">
      <w:pPr>
        <w:pStyle w:val="ac"/>
        <w:autoSpaceDE w:val="0"/>
        <w:autoSpaceDN w:val="0"/>
        <w:adjustRightInd w:val="0"/>
        <w:snapToGrid w:val="0"/>
        <w:spacing w:after="0" w:line="360" w:lineRule="auto"/>
        <w:ind w:firstLineChars="200"/>
        <w:rPr>
          <w:rFonts w:asciiTheme="minorEastAsia" w:eastAsiaTheme="minorEastAsia" w:hAnsiTheme="minorEastAsia" w:cs="Arial"/>
          <w:color w:val="000000" w:themeColor="text1"/>
          <w:szCs w:val="21"/>
        </w:rPr>
      </w:pPr>
      <w:r w:rsidRPr="00286323">
        <w:rPr>
          <w:rFonts w:asciiTheme="minorEastAsia" w:eastAsiaTheme="minorEastAsia" w:hAnsiTheme="minorEastAsia" w:cs="Arial"/>
          <w:color w:val="000000" w:themeColor="text1"/>
          <w:szCs w:val="21"/>
        </w:rPr>
        <w:t>基金注册登记机构保留基金份额持有人名册上列明的所有基金份额持有人的基金交易记录。</w:t>
      </w:r>
    </w:p>
    <w:p w:rsidR="001A7CDB" w:rsidRPr="00286323" w:rsidRDefault="001A7CDB" w:rsidP="00F71D3B">
      <w:pPr>
        <w:pStyle w:val="ac"/>
        <w:autoSpaceDE w:val="0"/>
        <w:autoSpaceDN w:val="0"/>
        <w:adjustRightInd w:val="0"/>
        <w:snapToGrid w:val="0"/>
        <w:spacing w:after="0" w:line="360" w:lineRule="auto"/>
        <w:ind w:firstLineChars="200"/>
        <w:rPr>
          <w:rFonts w:asciiTheme="minorEastAsia" w:eastAsiaTheme="minorEastAsia" w:hAnsiTheme="minorEastAsia" w:cs="Arial"/>
          <w:color w:val="000000" w:themeColor="text1"/>
          <w:szCs w:val="21"/>
        </w:rPr>
      </w:pPr>
      <w:r w:rsidRPr="00286323">
        <w:rPr>
          <w:rFonts w:asciiTheme="minorEastAsia" w:eastAsiaTheme="minorEastAsia" w:hAnsiTheme="minorEastAsia" w:cs="Arial"/>
          <w:color w:val="000000" w:themeColor="text1"/>
          <w:szCs w:val="21"/>
        </w:rPr>
        <w:t>基金管理人直销</w:t>
      </w:r>
      <w:r w:rsidR="004E6B2E" w:rsidRPr="00286323">
        <w:rPr>
          <w:rFonts w:asciiTheme="minorEastAsia" w:eastAsiaTheme="minorEastAsia" w:hAnsiTheme="minorEastAsia" w:cs="Arial" w:hint="eastAsia"/>
          <w:color w:val="000000" w:themeColor="text1"/>
          <w:szCs w:val="21"/>
        </w:rPr>
        <w:t>网点</w:t>
      </w:r>
      <w:r w:rsidRPr="00286323">
        <w:rPr>
          <w:rFonts w:asciiTheme="minorEastAsia" w:eastAsiaTheme="minorEastAsia" w:hAnsiTheme="minorEastAsia" w:cs="Arial"/>
          <w:color w:val="000000" w:themeColor="text1"/>
          <w:szCs w:val="21"/>
        </w:rPr>
        <w:t>应根据在基金管理人直销</w:t>
      </w:r>
      <w:r w:rsidR="004E6B2E" w:rsidRPr="00286323">
        <w:rPr>
          <w:rFonts w:asciiTheme="minorEastAsia" w:eastAsiaTheme="minorEastAsia" w:hAnsiTheme="minorEastAsia" w:cs="Arial" w:hint="eastAsia"/>
          <w:color w:val="000000" w:themeColor="text1"/>
          <w:szCs w:val="21"/>
        </w:rPr>
        <w:t>网点</w:t>
      </w:r>
      <w:r w:rsidRPr="00286323">
        <w:rPr>
          <w:rFonts w:asciiTheme="minorEastAsia" w:eastAsiaTheme="minorEastAsia" w:hAnsiTheme="minorEastAsia" w:cs="Arial"/>
          <w:color w:val="000000" w:themeColor="text1"/>
          <w:szCs w:val="21"/>
        </w:rPr>
        <w:t>进行交易的投资</w:t>
      </w:r>
      <w:r w:rsidR="004E6B2E" w:rsidRPr="00286323">
        <w:rPr>
          <w:rFonts w:asciiTheme="minorEastAsia" w:eastAsiaTheme="minorEastAsia" w:hAnsiTheme="minorEastAsia" w:cs="Arial" w:hint="eastAsia"/>
          <w:color w:val="000000" w:themeColor="text1"/>
          <w:szCs w:val="21"/>
        </w:rPr>
        <w:t>者</w:t>
      </w:r>
      <w:r w:rsidRPr="00286323">
        <w:rPr>
          <w:rFonts w:asciiTheme="minorEastAsia" w:eastAsiaTheme="minorEastAsia" w:hAnsiTheme="minorEastAsia" w:cs="Arial"/>
          <w:color w:val="000000" w:themeColor="text1"/>
          <w:szCs w:val="21"/>
        </w:rPr>
        <w:t>的要求提</w:t>
      </w:r>
      <w:r w:rsidR="004E6B2E" w:rsidRPr="00286323">
        <w:rPr>
          <w:rFonts w:asciiTheme="minorEastAsia" w:eastAsiaTheme="minorEastAsia" w:hAnsiTheme="minorEastAsia" w:cs="Arial" w:hint="eastAsia"/>
          <w:color w:val="000000" w:themeColor="text1"/>
          <w:szCs w:val="21"/>
        </w:rPr>
        <w:t>供</w:t>
      </w:r>
      <w:r w:rsidRPr="00286323">
        <w:rPr>
          <w:rFonts w:asciiTheme="minorEastAsia" w:eastAsiaTheme="minorEastAsia" w:hAnsiTheme="minorEastAsia" w:cs="Arial"/>
          <w:color w:val="000000" w:themeColor="text1"/>
          <w:szCs w:val="21"/>
        </w:rPr>
        <w:t>成交确认单。基金</w:t>
      </w:r>
      <w:r w:rsidR="00FD1294" w:rsidRPr="00286323">
        <w:rPr>
          <w:rFonts w:asciiTheme="minorEastAsia" w:eastAsiaTheme="minorEastAsia" w:hAnsiTheme="minorEastAsia" w:cs="宋体" w:hint="eastAsia"/>
          <w:color w:val="000000" w:themeColor="text1"/>
          <w:kern w:val="0"/>
          <w:sz w:val="22"/>
          <w:szCs w:val="22"/>
          <w:lang w:val="zh-CN"/>
        </w:rPr>
        <w:t>非直销销售</w:t>
      </w:r>
      <w:r w:rsidRPr="00286323">
        <w:rPr>
          <w:rFonts w:asciiTheme="minorEastAsia" w:eastAsiaTheme="minorEastAsia" w:hAnsiTheme="minorEastAsia" w:cs="Arial"/>
          <w:color w:val="000000" w:themeColor="text1"/>
          <w:szCs w:val="21"/>
        </w:rPr>
        <w:t>机构应根据在</w:t>
      </w:r>
      <w:r w:rsidR="00FD1294" w:rsidRPr="00286323">
        <w:rPr>
          <w:rFonts w:asciiTheme="minorEastAsia" w:eastAsiaTheme="minorEastAsia" w:hAnsiTheme="minorEastAsia" w:cs="Arial" w:hint="eastAsia"/>
          <w:color w:val="000000" w:themeColor="text1"/>
          <w:szCs w:val="21"/>
        </w:rPr>
        <w:t>销售</w:t>
      </w:r>
      <w:r w:rsidRPr="00286323">
        <w:rPr>
          <w:rFonts w:asciiTheme="minorEastAsia" w:eastAsiaTheme="minorEastAsia" w:hAnsiTheme="minorEastAsia" w:cs="Arial"/>
          <w:color w:val="000000" w:themeColor="text1"/>
          <w:szCs w:val="21"/>
        </w:rPr>
        <w:t>网点进行交易的投资</w:t>
      </w:r>
      <w:r w:rsidR="004E6B2E" w:rsidRPr="00286323">
        <w:rPr>
          <w:rFonts w:asciiTheme="minorEastAsia" w:eastAsiaTheme="minorEastAsia" w:hAnsiTheme="minorEastAsia" w:cs="Arial" w:hint="eastAsia"/>
          <w:color w:val="000000" w:themeColor="text1"/>
          <w:szCs w:val="21"/>
        </w:rPr>
        <w:t>者</w:t>
      </w:r>
      <w:r w:rsidRPr="00286323">
        <w:rPr>
          <w:rFonts w:asciiTheme="minorEastAsia" w:eastAsiaTheme="minorEastAsia" w:hAnsiTheme="minorEastAsia" w:cs="Arial"/>
          <w:color w:val="000000" w:themeColor="text1"/>
          <w:szCs w:val="21"/>
        </w:rPr>
        <w:t>的要求提</w:t>
      </w:r>
      <w:r w:rsidR="004E6B2E" w:rsidRPr="00286323">
        <w:rPr>
          <w:rFonts w:asciiTheme="minorEastAsia" w:eastAsiaTheme="minorEastAsia" w:hAnsiTheme="minorEastAsia" w:cs="Arial" w:hint="eastAsia"/>
          <w:color w:val="000000" w:themeColor="text1"/>
          <w:szCs w:val="21"/>
        </w:rPr>
        <w:t>供</w:t>
      </w:r>
      <w:r w:rsidRPr="00286323">
        <w:rPr>
          <w:rFonts w:asciiTheme="minorEastAsia" w:eastAsiaTheme="minorEastAsia" w:hAnsiTheme="minorEastAsia" w:cs="Arial"/>
          <w:color w:val="000000" w:themeColor="text1"/>
          <w:szCs w:val="21"/>
        </w:rPr>
        <w:t>成交确认单。</w:t>
      </w:r>
    </w:p>
    <w:p w:rsidR="001A7CDB" w:rsidRPr="00286323" w:rsidRDefault="001A7CDB" w:rsidP="00F71D3B">
      <w:pPr>
        <w:pStyle w:val="20"/>
        <w:snapToGrid w:val="0"/>
        <w:spacing w:beforeLines="0" w:afterLines="0" w:line="360" w:lineRule="auto"/>
        <w:ind w:firstLineChars="0" w:firstLine="0"/>
        <w:rPr>
          <w:rFonts w:asciiTheme="minorEastAsia" w:eastAsiaTheme="minorEastAsia" w:hAnsiTheme="minorEastAsia" w:cs="Arial"/>
          <w:b w:val="0"/>
          <w:bCs/>
          <w:color w:val="000000" w:themeColor="text1"/>
        </w:rPr>
      </w:pPr>
      <w:r w:rsidRPr="00286323">
        <w:rPr>
          <w:rFonts w:asciiTheme="minorEastAsia" w:eastAsiaTheme="minorEastAsia" w:hAnsiTheme="minorEastAsia" w:cs="Arial"/>
          <w:b w:val="0"/>
          <w:bCs/>
          <w:color w:val="000000" w:themeColor="text1"/>
        </w:rPr>
        <w:t>（二）基金份额持有人交易记录查询服务</w:t>
      </w:r>
    </w:p>
    <w:p w:rsidR="001A7CDB" w:rsidRPr="00286323" w:rsidRDefault="001A7CDB" w:rsidP="00F71D3B">
      <w:pPr>
        <w:pStyle w:val="ac"/>
        <w:autoSpaceDE w:val="0"/>
        <w:autoSpaceDN w:val="0"/>
        <w:adjustRightInd w:val="0"/>
        <w:snapToGrid w:val="0"/>
        <w:spacing w:after="0" w:line="360" w:lineRule="auto"/>
        <w:ind w:firstLineChars="200"/>
        <w:rPr>
          <w:rFonts w:asciiTheme="minorEastAsia" w:eastAsiaTheme="minorEastAsia" w:hAnsiTheme="minorEastAsia" w:cs="Arial"/>
          <w:color w:val="000000" w:themeColor="text1"/>
          <w:szCs w:val="21"/>
        </w:rPr>
      </w:pPr>
      <w:r w:rsidRPr="00286323">
        <w:rPr>
          <w:rFonts w:asciiTheme="minorEastAsia" w:eastAsiaTheme="minorEastAsia" w:hAnsiTheme="minorEastAsia" w:cs="Arial"/>
          <w:color w:val="000000" w:themeColor="text1"/>
          <w:szCs w:val="21"/>
        </w:rPr>
        <w:t>本基金份额持有人可通过基金管理人的客户服务中心查询历史交易记录。</w:t>
      </w:r>
    </w:p>
    <w:p w:rsidR="001A7CDB" w:rsidRPr="00286323" w:rsidRDefault="001A7CDB" w:rsidP="00F71D3B">
      <w:pPr>
        <w:pStyle w:val="20"/>
        <w:snapToGrid w:val="0"/>
        <w:spacing w:beforeLines="0" w:afterLines="0" w:line="360" w:lineRule="auto"/>
        <w:ind w:firstLineChars="0" w:firstLine="0"/>
        <w:rPr>
          <w:rFonts w:asciiTheme="minorEastAsia" w:eastAsiaTheme="minorEastAsia" w:hAnsiTheme="minorEastAsia" w:cs="Arial"/>
          <w:b w:val="0"/>
          <w:bCs/>
          <w:color w:val="000000" w:themeColor="text1"/>
        </w:rPr>
      </w:pPr>
      <w:r w:rsidRPr="00286323">
        <w:rPr>
          <w:rFonts w:asciiTheme="minorEastAsia" w:eastAsiaTheme="minorEastAsia" w:hAnsiTheme="minorEastAsia" w:cs="Arial"/>
          <w:b w:val="0"/>
          <w:bCs/>
          <w:color w:val="000000" w:themeColor="text1"/>
        </w:rPr>
        <w:t>（三）基金份额持有人</w:t>
      </w:r>
      <w:r w:rsidR="004E6B2E" w:rsidRPr="00286323">
        <w:rPr>
          <w:rFonts w:asciiTheme="minorEastAsia" w:eastAsiaTheme="minorEastAsia" w:hAnsiTheme="minorEastAsia" w:cs="Arial" w:hint="eastAsia"/>
          <w:b w:val="0"/>
          <w:bCs/>
          <w:color w:val="000000" w:themeColor="text1"/>
        </w:rPr>
        <w:t>的</w:t>
      </w:r>
      <w:r w:rsidRPr="00286323">
        <w:rPr>
          <w:rFonts w:asciiTheme="minorEastAsia" w:eastAsiaTheme="minorEastAsia" w:hAnsiTheme="minorEastAsia" w:cs="Arial"/>
          <w:b w:val="0"/>
          <w:bCs/>
          <w:color w:val="000000" w:themeColor="text1"/>
        </w:rPr>
        <w:t>对账单服务</w:t>
      </w:r>
    </w:p>
    <w:p w:rsidR="001A7CDB" w:rsidRPr="00286323" w:rsidRDefault="001A7CDB"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hint="eastAsia"/>
          <w:color w:val="000000" w:themeColor="text1"/>
        </w:rPr>
        <w:t>1、基金份额持有人可登录本公司网站（http://www.efunds.com.cn）查阅对账单。</w:t>
      </w:r>
    </w:p>
    <w:p w:rsidR="001A7CDB" w:rsidRPr="00286323" w:rsidRDefault="001A7CDB" w:rsidP="00F71D3B">
      <w:pPr>
        <w:snapToGrid w:val="0"/>
        <w:spacing w:line="360" w:lineRule="auto"/>
        <w:ind w:firstLineChars="200" w:firstLine="420"/>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2、本公司至少每年度以电子邮件、短信或其他形式向通过易方达直销系统持有本公司基金份额的基金份额持有人提供基金保有情况信息，基金份额持有人也可以向本公司定制电子邮件形式的月度对账单。</w:t>
      </w:r>
    </w:p>
    <w:p w:rsidR="001A7CDB" w:rsidRPr="00286323" w:rsidRDefault="001A7CDB" w:rsidP="00F71D3B">
      <w:pPr>
        <w:pStyle w:val="ac"/>
        <w:autoSpaceDE w:val="0"/>
        <w:autoSpaceDN w:val="0"/>
        <w:adjustRightInd w:val="0"/>
        <w:snapToGrid w:val="0"/>
        <w:spacing w:after="0" w:line="360" w:lineRule="auto"/>
        <w:ind w:firstLineChars="200"/>
        <w:rPr>
          <w:rFonts w:asciiTheme="minorEastAsia" w:eastAsiaTheme="minorEastAsia" w:hAnsiTheme="minorEastAsia" w:cs="Arial"/>
          <w:color w:val="000000" w:themeColor="text1"/>
          <w:szCs w:val="21"/>
        </w:rPr>
      </w:pPr>
      <w:r w:rsidRPr="00286323">
        <w:rPr>
          <w:rFonts w:asciiTheme="minorEastAsia" w:eastAsiaTheme="minorEastAsia" w:hAnsiTheme="minorEastAsia" w:hint="eastAsia"/>
          <w:color w:val="000000" w:themeColor="text1"/>
          <w:szCs w:val="21"/>
        </w:rPr>
        <w:t>具体查阅和定制账单的方法可参见本公司网站或拨打客服热线咨询。</w:t>
      </w:r>
    </w:p>
    <w:p w:rsidR="001A7CDB" w:rsidRPr="00286323" w:rsidRDefault="001A7CDB" w:rsidP="00F71D3B">
      <w:pPr>
        <w:pStyle w:val="20"/>
        <w:snapToGrid w:val="0"/>
        <w:spacing w:beforeLines="0" w:afterLines="0" w:line="360" w:lineRule="auto"/>
        <w:ind w:firstLineChars="0" w:firstLine="0"/>
        <w:rPr>
          <w:rFonts w:asciiTheme="minorEastAsia" w:eastAsiaTheme="minorEastAsia" w:hAnsiTheme="minorEastAsia" w:cs="Arial"/>
          <w:b w:val="0"/>
          <w:bCs/>
          <w:color w:val="000000" w:themeColor="text1"/>
        </w:rPr>
      </w:pPr>
      <w:r w:rsidRPr="00286323">
        <w:rPr>
          <w:rFonts w:asciiTheme="minorEastAsia" w:eastAsiaTheme="minorEastAsia" w:hAnsiTheme="minorEastAsia" w:cs="Arial"/>
          <w:b w:val="0"/>
          <w:bCs/>
          <w:color w:val="000000" w:themeColor="text1"/>
        </w:rPr>
        <w:t>（</w:t>
      </w:r>
      <w:r w:rsidR="002B3F76" w:rsidRPr="00286323">
        <w:rPr>
          <w:rFonts w:asciiTheme="minorEastAsia" w:eastAsiaTheme="minorEastAsia" w:hAnsiTheme="minorEastAsia" w:cs="Arial" w:hint="eastAsia"/>
          <w:b w:val="0"/>
          <w:bCs/>
          <w:color w:val="000000" w:themeColor="text1"/>
        </w:rPr>
        <w:t>四</w:t>
      </w:r>
      <w:r w:rsidRPr="00286323">
        <w:rPr>
          <w:rFonts w:asciiTheme="minorEastAsia" w:eastAsiaTheme="minorEastAsia" w:hAnsiTheme="minorEastAsia" w:cs="Arial"/>
          <w:b w:val="0"/>
          <w:bCs/>
          <w:color w:val="000000" w:themeColor="text1"/>
        </w:rPr>
        <w:t>）定期定额投资计划</w:t>
      </w:r>
    </w:p>
    <w:p w:rsidR="001A7CDB" w:rsidRPr="00286323" w:rsidRDefault="00352BEF" w:rsidP="00F71D3B">
      <w:pPr>
        <w:pStyle w:val="ac"/>
        <w:autoSpaceDE w:val="0"/>
        <w:autoSpaceDN w:val="0"/>
        <w:adjustRightInd w:val="0"/>
        <w:snapToGrid w:val="0"/>
        <w:spacing w:after="0" w:line="360" w:lineRule="auto"/>
        <w:ind w:firstLineChars="200"/>
        <w:rPr>
          <w:rFonts w:asciiTheme="minorEastAsia" w:eastAsiaTheme="minorEastAsia" w:hAnsiTheme="minorEastAsia" w:cs="Arial"/>
          <w:color w:val="000000" w:themeColor="text1"/>
          <w:szCs w:val="21"/>
        </w:rPr>
      </w:pPr>
      <w:r w:rsidRPr="00286323">
        <w:rPr>
          <w:rFonts w:asciiTheme="minorEastAsia" w:eastAsiaTheme="minorEastAsia" w:hAnsiTheme="minorEastAsia" w:cs="Arial" w:hint="eastAsia"/>
          <w:color w:val="000000" w:themeColor="text1"/>
          <w:szCs w:val="21"/>
        </w:rPr>
        <w:t>基金管理人可利用</w:t>
      </w:r>
      <w:r w:rsidR="002B3F76" w:rsidRPr="00286323">
        <w:rPr>
          <w:rFonts w:asciiTheme="minorEastAsia" w:eastAsiaTheme="minorEastAsia" w:hAnsiTheme="minorEastAsia" w:cs="宋体" w:hint="eastAsia"/>
          <w:color w:val="000000" w:themeColor="text1"/>
          <w:kern w:val="0"/>
          <w:sz w:val="22"/>
          <w:szCs w:val="22"/>
          <w:lang w:val="zh-CN"/>
        </w:rPr>
        <w:t>非直销销售</w:t>
      </w:r>
      <w:r w:rsidRPr="00286323">
        <w:rPr>
          <w:rFonts w:asciiTheme="minorEastAsia" w:eastAsiaTheme="minorEastAsia" w:hAnsiTheme="minorEastAsia" w:cs="Arial" w:hint="eastAsia"/>
          <w:color w:val="000000" w:themeColor="text1"/>
          <w:szCs w:val="21"/>
        </w:rPr>
        <w:t>机构网点和本公司网上交易系统为投资者提供定期定额投资的服务（本公司网上交易系统的定期定额投资服务目前仅对个人投资者开通）。通过定期定额投资计划，投资者可以通过固定的渠道，定期定额申购基金份额，具体实施方法见有关公告。</w:t>
      </w:r>
      <w:r w:rsidR="00072450" w:rsidRPr="00286323">
        <w:rPr>
          <w:rFonts w:asciiTheme="minorEastAsia" w:eastAsiaTheme="minorEastAsia" w:hAnsiTheme="minorEastAsia" w:hint="eastAsia"/>
          <w:color w:val="000000" w:themeColor="text1"/>
        </w:rPr>
        <w:t>原易方达量化衍伸股票型证券投资基金已于</w:t>
      </w:r>
      <w:r w:rsidR="00072450" w:rsidRPr="00286323">
        <w:rPr>
          <w:rFonts w:asciiTheme="minorEastAsia" w:eastAsiaTheme="minorEastAsia" w:hAnsiTheme="minorEastAsia"/>
          <w:color w:val="000000" w:themeColor="text1"/>
        </w:rPr>
        <w:t>2012</w:t>
      </w:r>
      <w:r w:rsidR="00072450" w:rsidRPr="00286323">
        <w:rPr>
          <w:rFonts w:asciiTheme="minorEastAsia" w:eastAsiaTheme="minorEastAsia" w:hAnsiTheme="minorEastAsia" w:hint="eastAsia"/>
          <w:color w:val="000000" w:themeColor="text1"/>
        </w:rPr>
        <w:t>年9月27日开始办理定期定额投资业务，原基金变更不影响本基金的正常定期定额投资。</w:t>
      </w:r>
    </w:p>
    <w:p w:rsidR="001A7CDB" w:rsidRPr="00286323" w:rsidRDefault="001A7CDB" w:rsidP="00F71D3B">
      <w:pPr>
        <w:pStyle w:val="20"/>
        <w:snapToGrid w:val="0"/>
        <w:spacing w:beforeLines="0" w:afterLines="0" w:line="360" w:lineRule="auto"/>
        <w:ind w:firstLineChars="0" w:firstLine="0"/>
        <w:rPr>
          <w:rFonts w:asciiTheme="minorEastAsia" w:eastAsiaTheme="minorEastAsia" w:hAnsiTheme="minorEastAsia" w:cs="Arial"/>
          <w:b w:val="0"/>
          <w:bCs/>
          <w:color w:val="000000" w:themeColor="text1"/>
        </w:rPr>
      </w:pPr>
      <w:r w:rsidRPr="00286323">
        <w:rPr>
          <w:rFonts w:asciiTheme="minorEastAsia" w:eastAsiaTheme="minorEastAsia" w:hAnsiTheme="minorEastAsia" w:cs="Arial"/>
          <w:b w:val="0"/>
          <w:bCs/>
          <w:color w:val="000000" w:themeColor="text1"/>
        </w:rPr>
        <w:t>（</w:t>
      </w:r>
      <w:r w:rsidR="002B3F76" w:rsidRPr="00286323">
        <w:rPr>
          <w:rFonts w:asciiTheme="minorEastAsia" w:eastAsiaTheme="minorEastAsia" w:hAnsiTheme="minorEastAsia" w:cs="Arial" w:hint="eastAsia"/>
          <w:b w:val="0"/>
          <w:bCs/>
          <w:color w:val="000000" w:themeColor="text1"/>
        </w:rPr>
        <w:t>五</w:t>
      </w:r>
      <w:r w:rsidRPr="00286323">
        <w:rPr>
          <w:rFonts w:asciiTheme="minorEastAsia" w:eastAsiaTheme="minorEastAsia" w:hAnsiTheme="minorEastAsia" w:cs="Arial"/>
          <w:b w:val="0"/>
          <w:bCs/>
          <w:color w:val="000000" w:themeColor="text1"/>
        </w:rPr>
        <w:t>）资讯服务</w:t>
      </w:r>
    </w:p>
    <w:p w:rsidR="001A7CDB" w:rsidRPr="00286323" w:rsidRDefault="001A7CDB" w:rsidP="00F71D3B">
      <w:pPr>
        <w:pStyle w:val="ac"/>
        <w:autoSpaceDE w:val="0"/>
        <w:autoSpaceDN w:val="0"/>
        <w:adjustRightInd w:val="0"/>
        <w:snapToGrid w:val="0"/>
        <w:spacing w:after="0" w:line="360" w:lineRule="auto"/>
        <w:ind w:firstLineChars="200"/>
        <w:rPr>
          <w:rFonts w:asciiTheme="minorEastAsia" w:eastAsiaTheme="minorEastAsia" w:hAnsiTheme="minorEastAsia" w:cs="Arial"/>
          <w:color w:val="000000" w:themeColor="text1"/>
          <w:szCs w:val="21"/>
        </w:rPr>
      </w:pPr>
      <w:r w:rsidRPr="00286323">
        <w:rPr>
          <w:rFonts w:asciiTheme="minorEastAsia" w:eastAsiaTheme="minorEastAsia" w:hAnsiTheme="minorEastAsia" w:cs="Arial" w:hint="eastAsia"/>
          <w:color w:val="000000" w:themeColor="text1"/>
          <w:szCs w:val="21"/>
        </w:rPr>
        <w:t>1、</w:t>
      </w:r>
      <w:r w:rsidRPr="00286323">
        <w:rPr>
          <w:rFonts w:asciiTheme="minorEastAsia" w:eastAsiaTheme="minorEastAsia" w:hAnsiTheme="minorEastAsia" w:cs="Arial"/>
          <w:color w:val="000000" w:themeColor="text1"/>
          <w:szCs w:val="21"/>
        </w:rPr>
        <w:t>客户服务电话</w:t>
      </w:r>
    </w:p>
    <w:p w:rsidR="001A7CDB" w:rsidRPr="00286323" w:rsidRDefault="001A7CDB" w:rsidP="00F71D3B">
      <w:pPr>
        <w:pStyle w:val="ac"/>
        <w:autoSpaceDE w:val="0"/>
        <w:autoSpaceDN w:val="0"/>
        <w:adjustRightInd w:val="0"/>
        <w:snapToGrid w:val="0"/>
        <w:spacing w:after="0" w:line="360" w:lineRule="auto"/>
        <w:ind w:firstLineChars="200"/>
        <w:rPr>
          <w:rFonts w:asciiTheme="minorEastAsia" w:eastAsiaTheme="minorEastAsia" w:hAnsiTheme="minorEastAsia" w:cs="Arial"/>
          <w:color w:val="000000" w:themeColor="text1"/>
          <w:szCs w:val="21"/>
        </w:rPr>
      </w:pPr>
      <w:r w:rsidRPr="00286323">
        <w:rPr>
          <w:rFonts w:asciiTheme="minorEastAsia" w:eastAsiaTheme="minorEastAsia" w:hAnsiTheme="minorEastAsia" w:cs="Arial"/>
          <w:color w:val="000000" w:themeColor="text1"/>
          <w:szCs w:val="21"/>
        </w:rPr>
        <w:t>投资</w:t>
      </w:r>
      <w:r w:rsidR="004E6B2E" w:rsidRPr="00286323">
        <w:rPr>
          <w:rFonts w:asciiTheme="minorEastAsia" w:eastAsiaTheme="minorEastAsia" w:hAnsiTheme="minorEastAsia" w:cs="Arial" w:hint="eastAsia"/>
          <w:color w:val="000000" w:themeColor="text1"/>
          <w:szCs w:val="21"/>
        </w:rPr>
        <w:t>者</w:t>
      </w:r>
      <w:r w:rsidRPr="00286323">
        <w:rPr>
          <w:rFonts w:asciiTheme="minorEastAsia" w:eastAsiaTheme="minorEastAsia" w:hAnsiTheme="minorEastAsia" w:cs="Arial"/>
          <w:color w:val="000000" w:themeColor="text1"/>
          <w:szCs w:val="21"/>
        </w:rPr>
        <w:t>如果想了解申购与赎回的交易情况、基金账户余额、基金产品与服务等信息，</w:t>
      </w:r>
      <w:r w:rsidR="00DD5BCE" w:rsidRPr="00286323">
        <w:rPr>
          <w:rFonts w:asciiTheme="minorEastAsia" w:eastAsiaTheme="minorEastAsia" w:hAnsiTheme="minorEastAsia" w:hint="eastAsia"/>
          <w:color w:val="000000" w:themeColor="text1"/>
          <w:kern w:val="0"/>
        </w:rPr>
        <w:t>或反馈投资过程中需要投诉与建议的情况，</w:t>
      </w:r>
      <w:r w:rsidRPr="00286323">
        <w:rPr>
          <w:rFonts w:asciiTheme="minorEastAsia" w:eastAsiaTheme="minorEastAsia" w:hAnsiTheme="minorEastAsia" w:cs="Arial"/>
          <w:color w:val="000000" w:themeColor="text1"/>
          <w:szCs w:val="21"/>
        </w:rPr>
        <w:t>可拨打如下电话：4008818088（免长途话费）。</w:t>
      </w:r>
      <w:r w:rsidR="00DD5BCE" w:rsidRPr="00286323">
        <w:rPr>
          <w:rFonts w:asciiTheme="minorEastAsia" w:eastAsiaTheme="minorEastAsia" w:hAnsiTheme="minorEastAsia" w:hint="eastAsia"/>
          <w:color w:val="000000" w:themeColor="text1"/>
          <w:kern w:val="0"/>
          <w:szCs w:val="21"/>
        </w:rPr>
        <w:t>投资者如果认为自己不能准确理解本基金《招募说明书》、《基金合同》的具体内容，也可拨打上述电话详询。</w:t>
      </w:r>
    </w:p>
    <w:p w:rsidR="001A7CDB" w:rsidRPr="00286323" w:rsidRDefault="001A7CDB" w:rsidP="00F71D3B">
      <w:pPr>
        <w:pStyle w:val="ac"/>
        <w:autoSpaceDE w:val="0"/>
        <w:autoSpaceDN w:val="0"/>
        <w:adjustRightInd w:val="0"/>
        <w:snapToGrid w:val="0"/>
        <w:spacing w:after="0" w:line="360" w:lineRule="auto"/>
        <w:ind w:firstLineChars="200"/>
        <w:rPr>
          <w:rFonts w:asciiTheme="minorEastAsia" w:eastAsiaTheme="minorEastAsia" w:hAnsiTheme="minorEastAsia" w:cs="Arial"/>
          <w:color w:val="000000" w:themeColor="text1"/>
          <w:szCs w:val="21"/>
        </w:rPr>
      </w:pPr>
      <w:r w:rsidRPr="00286323">
        <w:rPr>
          <w:rFonts w:asciiTheme="minorEastAsia" w:eastAsiaTheme="minorEastAsia" w:hAnsiTheme="minorEastAsia" w:cs="Arial" w:hint="eastAsia"/>
          <w:color w:val="000000" w:themeColor="text1"/>
          <w:szCs w:val="21"/>
        </w:rPr>
        <w:t>2、</w:t>
      </w:r>
      <w:r w:rsidRPr="00286323">
        <w:rPr>
          <w:rFonts w:asciiTheme="minorEastAsia" w:eastAsiaTheme="minorEastAsia" w:hAnsiTheme="minorEastAsia" w:cs="Arial"/>
          <w:color w:val="000000" w:themeColor="text1"/>
          <w:szCs w:val="21"/>
        </w:rPr>
        <w:t>互联网站及电子信箱</w:t>
      </w:r>
    </w:p>
    <w:p w:rsidR="001A7CDB" w:rsidRPr="00286323" w:rsidRDefault="001A7CDB" w:rsidP="00F71D3B">
      <w:pPr>
        <w:pStyle w:val="ac"/>
        <w:autoSpaceDE w:val="0"/>
        <w:autoSpaceDN w:val="0"/>
        <w:adjustRightInd w:val="0"/>
        <w:snapToGrid w:val="0"/>
        <w:spacing w:after="0" w:line="360" w:lineRule="auto"/>
        <w:ind w:firstLineChars="200"/>
        <w:rPr>
          <w:rFonts w:asciiTheme="minorEastAsia" w:eastAsiaTheme="minorEastAsia" w:hAnsiTheme="minorEastAsia" w:cs="Arial"/>
          <w:color w:val="000000" w:themeColor="text1"/>
          <w:szCs w:val="21"/>
        </w:rPr>
      </w:pPr>
      <w:r w:rsidRPr="00286323">
        <w:rPr>
          <w:rFonts w:asciiTheme="minorEastAsia" w:eastAsiaTheme="minorEastAsia" w:hAnsiTheme="minorEastAsia" w:cs="Arial"/>
          <w:color w:val="000000" w:themeColor="text1"/>
          <w:szCs w:val="21"/>
        </w:rPr>
        <w:t>网址：</w:t>
      </w:r>
      <w:hyperlink r:id="rId13" w:history="1">
        <w:r w:rsidRPr="00286323">
          <w:rPr>
            <w:rFonts w:asciiTheme="minorEastAsia" w:eastAsiaTheme="minorEastAsia" w:hAnsiTheme="minorEastAsia" w:cs="Arial"/>
            <w:color w:val="000000" w:themeColor="text1"/>
            <w:szCs w:val="21"/>
          </w:rPr>
          <w:t>http://www.efunds.com.cn</w:t>
        </w:r>
      </w:hyperlink>
    </w:p>
    <w:p w:rsidR="004B766C" w:rsidRPr="00286323" w:rsidRDefault="001A7CDB" w:rsidP="00F71D3B">
      <w:pPr>
        <w:pStyle w:val="ac"/>
        <w:autoSpaceDE w:val="0"/>
        <w:autoSpaceDN w:val="0"/>
        <w:adjustRightInd w:val="0"/>
        <w:snapToGrid w:val="0"/>
        <w:spacing w:after="0" w:line="360" w:lineRule="auto"/>
        <w:ind w:firstLineChars="200"/>
        <w:rPr>
          <w:rFonts w:asciiTheme="minorEastAsia" w:eastAsiaTheme="minorEastAsia" w:hAnsiTheme="minorEastAsia" w:cs="Arial"/>
          <w:color w:val="000000" w:themeColor="text1"/>
          <w:szCs w:val="21"/>
        </w:rPr>
      </w:pPr>
      <w:r w:rsidRPr="00286323">
        <w:rPr>
          <w:rFonts w:asciiTheme="minorEastAsia" w:eastAsiaTheme="minorEastAsia" w:hAnsiTheme="minorEastAsia" w:cs="Arial"/>
          <w:color w:val="000000" w:themeColor="text1"/>
          <w:szCs w:val="21"/>
        </w:rPr>
        <w:lastRenderedPageBreak/>
        <w:t>电子信箱：</w:t>
      </w:r>
      <w:hyperlink r:id="rId14" w:history="1">
        <w:r w:rsidRPr="00286323">
          <w:rPr>
            <w:rFonts w:asciiTheme="minorEastAsia" w:eastAsiaTheme="minorEastAsia" w:hAnsiTheme="minorEastAsia" w:cs="Arial"/>
            <w:color w:val="000000" w:themeColor="text1"/>
            <w:szCs w:val="21"/>
          </w:rPr>
          <w:t>service@efunds.com.cn</w:t>
        </w:r>
      </w:hyperlink>
    </w:p>
    <w:p w:rsidR="004B766C" w:rsidRPr="00286323" w:rsidRDefault="004B766C" w:rsidP="004B766C">
      <w:pPr>
        <w:rPr>
          <w:rFonts w:asciiTheme="minorEastAsia" w:eastAsiaTheme="minorEastAsia" w:hAnsiTheme="minorEastAsia"/>
          <w:color w:val="000000" w:themeColor="text1"/>
        </w:rPr>
      </w:pPr>
    </w:p>
    <w:p w:rsidR="004B766C" w:rsidRPr="00286323" w:rsidRDefault="004B766C" w:rsidP="004B766C">
      <w:pPr>
        <w:rPr>
          <w:rFonts w:asciiTheme="minorEastAsia" w:eastAsiaTheme="minorEastAsia" w:hAnsiTheme="minorEastAsia"/>
          <w:color w:val="000000" w:themeColor="text1"/>
        </w:rPr>
      </w:pPr>
    </w:p>
    <w:p w:rsidR="004B766C" w:rsidRPr="00286323" w:rsidRDefault="004B766C" w:rsidP="004B766C">
      <w:pPr>
        <w:rPr>
          <w:rFonts w:asciiTheme="minorEastAsia" w:eastAsiaTheme="minorEastAsia" w:hAnsiTheme="minorEastAsia"/>
          <w:color w:val="000000" w:themeColor="text1"/>
        </w:rPr>
      </w:pPr>
    </w:p>
    <w:p w:rsidR="004B766C" w:rsidRPr="00286323" w:rsidRDefault="004B766C" w:rsidP="004B766C">
      <w:pPr>
        <w:rPr>
          <w:rFonts w:asciiTheme="minorEastAsia" w:eastAsiaTheme="minorEastAsia" w:hAnsiTheme="minorEastAsia"/>
          <w:color w:val="000000" w:themeColor="text1"/>
        </w:rPr>
      </w:pPr>
    </w:p>
    <w:p w:rsidR="004B766C" w:rsidRPr="00286323" w:rsidRDefault="004B766C" w:rsidP="004B766C">
      <w:pPr>
        <w:rPr>
          <w:rFonts w:asciiTheme="minorEastAsia" w:eastAsiaTheme="minorEastAsia" w:hAnsiTheme="minorEastAsia"/>
          <w:color w:val="000000" w:themeColor="text1"/>
        </w:rPr>
      </w:pPr>
    </w:p>
    <w:p w:rsidR="004B766C" w:rsidRPr="00286323" w:rsidRDefault="004B766C" w:rsidP="004B766C">
      <w:pPr>
        <w:rPr>
          <w:rFonts w:asciiTheme="minorEastAsia" w:eastAsiaTheme="minorEastAsia" w:hAnsiTheme="minorEastAsia"/>
          <w:color w:val="000000" w:themeColor="text1"/>
        </w:rPr>
      </w:pPr>
    </w:p>
    <w:p w:rsidR="004B766C" w:rsidRPr="00286323" w:rsidRDefault="004B766C" w:rsidP="004B766C">
      <w:pPr>
        <w:rPr>
          <w:rFonts w:asciiTheme="minorEastAsia" w:eastAsiaTheme="minorEastAsia" w:hAnsiTheme="minorEastAsia"/>
          <w:color w:val="000000" w:themeColor="text1"/>
        </w:rPr>
      </w:pPr>
    </w:p>
    <w:p w:rsidR="004B766C" w:rsidRPr="00286323" w:rsidRDefault="004B766C" w:rsidP="004B766C">
      <w:pPr>
        <w:rPr>
          <w:rFonts w:asciiTheme="minorEastAsia" w:eastAsiaTheme="minorEastAsia" w:hAnsiTheme="minorEastAsia"/>
          <w:color w:val="000000" w:themeColor="text1"/>
        </w:rPr>
      </w:pPr>
    </w:p>
    <w:p w:rsidR="004B766C" w:rsidRPr="00286323" w:rsidRDefault="004B766C" w:rsidP="004B766C">
      <w:pPr>
        <w:rPr>
          <w:rFonts w:asciiTheme="minorEastAsia" w:eastAsiaTheme="minorEastAsia" w:hAnsiTheme="minorEastAsia"/>
          <w:color w:val="000000" w:themeColor="text1"/>
        </w:rPr>
      </w:pPr>
    </w:p>
    <w:p w:rsidR="004B766C" w:rsidRPr="00286323" w:rsidRDefault="004B766C" w:rsidP="004B766C">
      <w:pPr>
        <w:rPr>
          <w:rFonts w:asciiTheme="minorEastAsia" w:eastAsiaTheme="minorEastAsia" w:hAnsiTheme="minorEastAsia"/>
          <w:color w:val="000000" w:themeColor="text1"/>
        </w:rPr>
      </w:pPr>
    </w:p>
    <w:p w:rsidR="004B766C" w:rsidRPr="00286323" w:rsidRDefault="004B766C" w:rsidP="004B766C">
      <w:pPr>
        <w:rPr>
          <w:rFonts w:asciiTheme="minorEastAsia" w:eastAsiaTheme="minorEastAsia" w:hAnsiTheme="minorEastAsia"/>
          <w:color w:val="000000" w:themeColor="text1"/>
        </w:rPr>
      </w:pPr>
    </w:p>
    <w:p w:rsidR="004B766C" w:rsidRPr="00286323" w:rsidRDefault="004B766C" w:rsidP="004B766C">
      <w:pPr>
        <w:rPr>
          <w:rFonts w:asciiTheme="minorEastAsia" w:eastAsiaTheme="minorEastAsia" w:hAnsiTheme="minorEastAsia"/>
          <w:color w:val="000000" w:themeColor="text1"/>
        </w:rPr>
      </w:pPr>
    </w:p>
    <w:p w:rsidR="004B766C" w:rsidRPr="00286323" w:rsidRDefault="004B766C" w:rsidP="004B766C">
      <w:pPr>
        <w:rPr>
          <w:rFonts w:asciiTheme="minorEastAsia" w:eastAsiaTheme="minorEastAsia" w:hAnsiTheme="minorEastAsia"/>
          <w:color w:val="000000" w:themeColor="text1"/>
        </w:rPr>
      </w:pPr>
    </w:p>
    <w:p w:rsidR="004B766C" w:rsidRPr="00286323" w:rsidRDefault="004B766C" w:rsidP="004B766C">
      <w:pPr>
        <w:rPr>
          <w:rFonts w:asciiTheme="minorEastAsia" w:eastAsiaTheme="minorEastAsia" w:hAnsiTheme="minorEastAsia"/>
          <w:color w:val="000000" w:themeColor="text1"/>
        </w:rPr>
      </w:pPr>
    </w:p>
    <w:p w:rsidR="004B766C" w:rsidRPr="00286323" w:rsidRDefault="004B766C" w:rsidP="004B766C">
      <w:pPr>
        <w:rPr>
          <w:rFonts w:asciiTheme="minorEastAsia" w:eastAsiaTheme="minorEastAsia" w:hAnsiTheme="minorEastAsia"/>
          <w:color w:val="000000" w:themeColor="text1"/>
        </w:rPr>
      </w:pPr>
    </w:p>
    <w:p w:rsidR="004B766C" w:rsidRPr="00286323" w:rsidRDefault="004B766C" w:rsidP="004B766C">
      <w:pPr>
        <w:rPr>
          <w:rFonts w:asciiTheme="minorEastAsia" w:eastAsiaTheme="minorEastAsia" w:hAnsiTheme="minorEastAsia"/>
          <w:color w:val="000000" w:themeColor="text1"/>
        </w:rPr>
      </w:pPr>
    </w:p>
    <w:p w:rsidR="004B766C" w:rsidRPr="00286323" w:rsidRDefault="004B766C" w:rsidP="004B766C">
      <w:pPr>
        <w:rPr>
          <w:rFonts w:asciiTheme="minorEastAsia" w:eastAsiaTheme="minorEastAsia" w:hAnsiTheme="minorEastAsia"/>
          <w:color w:val="000000" w:themeColor="text1"/>
        </w:rPr>
      </w:pPr>
    </w:p>
    <w:p w:rsidR="004B766C" w:rsidRPr="00286323" w:rsidRDefault="004B766C" w:rsidP="004B766C">
      <w:pPr>
        <w:rPr>
          <w:rFonts w:asciiTheme="minorEastAsia" w:eastAsiaTheme="minorEastAsia" w:hAnsiTheme="minorEastAsia"/>
          <w:color w:val="000000" w:themeColor="text1"/>
        </w:rPr>
      </w:pPr>
    </w:p>
    <w:p w:rsidR="004B766C" w:rsidRPr="00286323" w:rsidRDefault="004B766C" w:rsidP="004B766C">
      <w:pPr>
        <w:rPr>
          <w:rFonts w:asciiTheme="minorEastAsia" w:eastAsiaTheme="minorEastAsia" w:hAnsiTheme="minorEastAsia"/>
          <w:color w:val="000000" w:themeColor="text1"/>
        </w:rPr>
      </w:pPr>
    </w:p>
    <w:p w:rsidR="004B766C" w:rsidRPr="00286323" w:rsidRDefault="004B766C" w:rsidP="004B766C">
      <w:pPr>
        <w:rPr>
          <w:rFonts w:asciiTheme="minorEastAsia" w:eastAsiaTheme="minorEastAsia" w:hAnsiTheme="minorEastAsia"/>
          <w:color w:val="000000" w:themeColor="text1"/>
        </w:rPr>
      </w:pPr>
    </w:p>
    <w:p w:rsidR="004B766C" w:rsidRPr="00286323" w:rsidRDefault="004B766C" w:rsidP="004B766C">
      <w:pPr>
        <w:rPr>
          <w:rFonts w:asciiTheme="minorEastAsia" w:eastAsiaTheme="minorEastAsia" w:hAnsiTheme="minorEastAsia"/>
          <w:color w:val="000000" w:themeColor="text1"/>
        </w:rPr>
      </w:pPr>
    </w:p>
    <w:p w:rsidR="004B766C" w:rsidRPr="00286323" w:rsidRDefault="004B766C" w:rsidP="004B766C">
      <w:pPr>
        <w:rPr>
          <w:rFonts w:asciiTheme="minorEastAsia" w:eastAsiaTheme="minorEastAsia" w:hAnsiTheme="minorEastAsia"/>
          <w:color w:val="000000" w:themeColor="text1"/>
        </w:rPr>
      </w:pPr>
    </w:p>
    <w:p w:rsidR="004B766C" w:rsidRPr="00286323" w:rsidRDefault="004B766C" w:rsidP="004B766C">
      <w:pPr>
        <w:rPr>
          <w:rFonts w:asciiTheme="minorEastAsia" w:eastAsiaTheme="minorEastAsia" w:hAnsiTheme="minorEastAsia"/>
          <w:color w:val="000000" w:themeColor="text1"/>
        </w:rPr>
      </w:pPr>
    </w:p>
    <w:p w:rsidR="004B766C" w:rsidRPr="00286323" w:rsidRDefault="004B766C" w:rsidP="004B766C">
      <w:pPr>
        <w:rPr>
          <w:rFonts w:asciiTheme="minorEastAsia" w:eastAsiaTheme="minorEastAsia" w:hAnsiTheme="minorEastAsia"/>
          <w:color w:val="000000" w:themeColor="text1"/>
        </w:rPr>
      </w:pPr>
    </w:p>
    <w:p w:rsidR="004B766C" w:rsidRPr="00286323" w:rsidRDefault="004B766C" w:rsidP="004B766C">
      <w:pPr>
        <w:rPr>
          <w:rFonts w:asciiTheme="minorEastAsia" w:eastAsiaTheme="minorEastAsia" w:hAnsiTheme="minorEastAsia"/>
          <w:color w:val="000000" w:themeColor="text1"/>
        </w:rPr>
      </w:pPr>
    </w:p>
    <w:p w:rsidR="004B766C" w:rsidRPr="00286323" w:rsidRDefault="004B766C" w:rsidP="00286323">
      <w:pPr>
        <w:jc w:val="center"/>
        <w:rPr>
          <w:rFonts w:asciiTheme="minorEastAsia" w:eastAsiaTheme="minorEastAsia" w:hAnsiTheme="minorEastAsia"/>
          <w:color w:val="000000" w:themeColor="text1"/>
        </w:rPr>
      </w:pPr>
    </w:p>
    <w:p w:rsidR="004B766C" w:rsidRPr="00286323" w:rsidRDefault="004B766C" w:rsidP="004B766C">
      <w:pPr>
        <w:jc w:val="center"/>
        <w:rPr>
          <w:rFonts w:asciiTheme="minorEastAsia" w:eastAsiaTheme="minorEastAsia" w:hAnsiTheme="minorEastAsia"/>
          <w:color w:val="000000" w:themeColor="text1"/>
        </w:rPr>
      </w:pPr>
    </w:p>
    <w:p w:rsidR="004B766C" w:rsidRPr="00286323" w:rsidRDefault="004B766C" w:rsidP="004B766C">
      <w:pPr>
        <w:rPr>
          <w:rFonts w:asciiTheme="minorEastAsia" w:eastAsiaTheme="minorEastAsia" w:hAnsiTheme="minorEastAsia"/>
          <w:color w:val="000000" w:themeColor="text1"/>
        </w:rPr>
      </w:pPr>
    </w:p>
    <w:p w:rsidR="004B766C" w:rsidRPr="00286323" w:rsidRDefault="004B766C" w:rsidP="004B766C">
      <w:pPr>
        <w:rPr>
          <w:rFonts w:asciiTheme="minorEastAsia" w:eastAsiaTheme="minorEastAsia" w:hAnsiTheme="minorEastAsia"/>
          <w:color w:val="000000" w:themeColor="text1"/>
        </w:rPr>
      </w:pPr>
    </w:p>
    <w:p w:rsidR="004B766C" w:rsidRPr="00286323" w:rsidRDefault="004B766C" w:rsidP="004B766C">
      <w:pPr>
        <w:rPr>
          <w:rFonts w:asciiTheme="minorEastAsia" w:eastAsiaTheme="minorEastAsia" w:hAnsiTheme="minorEastAsia"/>
          <w:color w:val="000000" w:themeColor="text1"/>
        </w:rPr>
      </w:pPr>
    </w:p>
    <w:p w:rsidR="004B766C" w:rsidRPr="00286323" w:rsidRDefault="004B766C" w:rsidP="004B766C">
      <w:pPr>
        <w:rPr>
          <w:rFonts w:asciiTheme="minorEastAsia" w:eastAsiaTheme="minorEastAsia" w:hAnsiTheme="minorEastAsia"/>
          <w:color w:val="000000" w:themeColor="text1"/>
        </w:rPr>
      </w:pPr>
    </w:p>
    <w:p w:rsidR="004B766C" w:rsidRPr="00286323" w:rsidRDefault="004B766C" w:rsidP="004B766C">
      <w:pPr>
        <w:rPr>
          <w:rFonts w:asciiTheme="minorEastAsia" w:eastAsiaTheme="minorEastAsia" w:hAnsiTheme="minorEastAsia"/>
          <w:color w:val="000000" w:themeColor="text1"/>
        </w:rPr>
      </w:pPr>
    </w:p>
    <w:p w:rsidR="004B766C" w:rsidRPr="00286323" w:rsidRDefault="004B766C" w:rsidP="004B766C">
      <w:pPr>
        <w:rPr>
          <w:rFonts w:asciiTheme="minorEastAsia" w:eastAsiaTheme="minorEastAsia" w:hAnsiTheme="minorEastAsia"/>
          <w:color w:val="000000" w:themeColor="text1"/>
        </w:rPr>
      </w:pPr>
    </w:p>
    <w:p w:rsidR="004B766C" w:rsidRPr="00286323" w:rsidRDefault="004B766C" w:rsidP="004B766C">
      <w:pPr>
        <w:rPr>
          <w:rFonts w:asciiTheme="minorEastAsia" w:eastAsiaTheme="minorEastAsia" w:hAnsiTheme="minorEastAsia"/>
          <w:color w:val="000000" w:themeColor="text1"/>
        </w:rPr>
      </w:pPr>
    </w:p>
    <w:p w:rsidR="004B766C" w:rsidRPr="00286323" w:rsidRDefault="004B766C" w:rsidP="004B766C">
      <w:pPr>
        <w:rPr>
          <w:rFonts w:asciiTheme="minorEastAsia" w:eastAsiaTheme="minorEastAsia" w:hAnsiTheme="minorEastAsia"/>
          <w:color w:val="000000" w:themeColor="text1"/>
        </w:rPr>
      </w:pPr>
    </w:p>
    <w:p w:rsidR="001A7CDB" w:rsidRPr="00286323" w:rsidRDefault="001A7CDB" w:rsidP="004B766C">
      <w:pPr>
        <w:rPr>
          <w:rFonts w:asciiTheme="minorEastAsia" w:eastAsiaTheme="minorEastAsia" w:hAnsiTheme="minorEastAsia"/>
          <w:color w:val="000000" w:themeColor="text1"/>
        </w:rPr>
      </w:pPr>
    </w:p>
    <w:p w:rsidR="001A7CDB" w:rsidRPr="00286323" w:rsidRDefault="001A7CDB" w:rsidP="00F71D3B">
      <w:pPr>
        <w:pStyle w:val="11"/>
        <w:numPr>
          <w:ilvl w:val="0"/>
          <w:numId w:val="9"/>
        </w:numPr>
        <w:snapToGrid w:val="0"/>
        <w:spacing w:beforeLines="0" w:afterLines="0" w:line="360" w:lineRule="auto"/>
        <w:ind w:firstLineChars="0"/>
        <w:rPr>
          <w:rFonts w:asciiTheme="minorEastAsia" w:eastAsiaTheme="minorEastAsia" w:hAnsiTheme="minorEastAsia" w:cs="Arial"/>
          <w:bCs/>
          <w:color w:val="000000" w:themeColor="text1"/>
        </w:rPr>
      </w:pPr>
      <w:bookmarkStart w:id="1110" w:name="_Toc38438275"/>
      <w:bookmarkStart w:id="1111" w:name="_Toc38438612"/>
      <w:bookmarkStart w:id="1112" w:name="_Toc38438949"/>
      <w:bookmarkStart w:id="1113" w:name="_Toc38439286"/>
      <w:bookmarkStart w:id="1114" w:name="_Toc38439623"/>
      <w:bookmarkStart w:id="1115" w:name="_Toc38439960"/>
      <w:bookmarkStart w:id="1116" w:name="_Toc38440297"/>
      <w:bookmarkStart w:id="1117" w:name="_Toc38440630"/>
      <w:bookmarkStart w:id="1118" w:name="_Toc38440829"/>
      <w:bookmarkStart w:id="1119" w:name="_Toc38441161"/>
      <w:bookmarkStart w:id="1120" w:name="_Toc38441493"/>
      <w:bookmarkStart w:id="1121" w:name="_Toc38441821"/>
      <w:bookmarkStart w:id="1122" w:name="_Toc38442153"/>
      <w:bookmarkStart w:id="1123" w:name="_Toc38442485"/>
      <w:bookmarkStart w:id="1124" w:name="_Toc38442816"/>
      <w:bookmarkStart w:id="1125" w:name="_Toc38443147"/>
      <w:bookmarkStart w:id="1126" w:name="_Toc38443478"/>
      <w:bookmarkStart w:id="1127" w:name="_Toc38443809"/>
      <w:bookmarkStart w:id="1128" w:name="_Toc38438277"/>
      <w:bookmarkStart w:id="1129" w:name="_Toc38438614"/>
      <w:bookmarkStart w:id="1130" w:name="_Toc38438951"/>
      <w:bookmarkStart w:id="1131" w:name="_Toc38439288"/>
      <w:bookmarkStart w:id="1132" w:name="_Toc38439625"/>
      <w:bookmarkStart w:id="1133" w:name="_Toc38439962"/>
      <w:bookmarkStart w:id="1134" w:name="_Toc38440299"/>
      <w:bookmarkStart w:id="1135" w:name="_Toc38440632"/>
      <w:bookmarkStart w:id="1136" w:name="_Toc38440831"/>
      <w:bookmarkStart w:id="1137" w:name="_Toc38441163"/>
      <w:bookmarkStart w:id="1138" w:name="_Toc38441495"/>
      <w:bookmarkStart w:id="1139" w:name="_Toc38441823"/>
      <w:bookmarkStart w:id="1140" w:name="_Toc38442155"/>
      <w:bookmarkStart w:id="1141" w:name="_Toc38442487"/>
      <w:bookmarkStart w:id="1142" w:name="_Toc38442818"/>
      <w:bookmarkStart w:id="1143" w:name="_Toc38443149"/>
      <w:bookmarkStart w:id="1144" w:name="_Toc38443480"/>
      <w:bookmarkStart w:id="1145" w:name="_Toc38443811"/>
      <w:bookmarkStart w:id="1146" w:name="_Toc38438278"/>
      <w:bookmarkStart w:id="1147" w:name="_Toc38438615"/>
      <w:bookmarkStart w:id="1148" w:name="_Toc38438952"/>
      <w:bookmarkStart w:id="1149" w:name="_Toc38439289"/>
      <w:bookmarkStart w:id="1150" w:name="_Toc38439626"/>
      <w:bookmarkStart w:id="1151" w:name="_Toc38439963"/>
      <w:bookmarkStart w:id="1152" w:name="_Toc38440300"/>
      <w:bookmarkStart w:id="1153" w:name="_Toc38440633"/>
      <w:bookmarkStart w:id="1154" w:name="_Toc38440832"/>
      <w:bookmarkStart w:id="1155" w:name="_Toc38441164"/>
      <w:bookmarkStart w:id="1156" w:name="_Toc38441496"/>
      <w:bookmarkStart w:id="1157" w:name="_Toc38441824"/>
      <w:bookmarkStart w:id="1158" w:name="_Toc38442156"/>
      <w:bookmarkStart w:id="1159" w:name="_Toc38442488"/>
      <w:bookmarkStart w:id="1160" w:name="_Toc38442819"/>
      <w:bookmarkStart w:id="1161" w:name="_Toc38443150"/>
      <w:bookmarkStart w:id="1162" w:name="_Toc38443481"/>
      <w:bookmarkStart w:id="1163" w:name="_Toc38443812"/>
      <w:bookmarkStart w:id="1164" w:name="_Toc38438279"/>
      <w:bookmarkStart w:id="1165" w:name="_Toc38438616"/>
      <w:bookmarkStart w:id="1166" w:name="_Toc38438953"/>
      <w:bookmarkStart w:id="1167" w:name="_Toc38439290"/>
      <w:bookmarkStart w:id="1168" w:name="_Toc38439627"/>
      <w:bookmarkStart w:id="1169" w:name="_Toc38439964"/>
      <w:bookmarkStart w:id="1170" w:name="_Toc38440301"/>
      <w:bookmarkStart w:id="1171" w:name="_Toc38440634"/>
      <w:bookmarkStart w:id="1172" w:name="_Toc38440833"/>
      <w:bookmarkStart w:id="1173" w:name="_Toc38441165"/>
      <w:bookmarkStart w:id="1174" w:name="_Toc38441497"/>
      <w:bookmarkStart w:id="1175" w:name="_Toc38441825"/>
      <w:bookmarkStart w:id="1176" w:name="_Toc38442157"/>
      <w:bookmarkStart w:id="1177" w:name="_Toc38442489"/>
      <w:bookmarkStart w:id="1178" w:name="_Toc38442820"/>
      <w:bookmarkStart w:id="1179" w:name="_Toc38443151"/>
      <w:bookmarkStart w:id="1180" w:name="_Toc38443482"/>
      <w:bookmarkStart w:id="1181" w:name="_Toc38443813"/>
      <w:bookmarkStart w:id="1182" w:name="_Toc38438280"/>
      <w:bookmarkStart w:id="1183" w:name="_Toc38438617"/>
      <w:bookmarkStart w:id="1184" w:name="_Toc38438954"/>
      <w:bookmarkStart w:id="1185" w:name="_Toc38439291"/>
      <w:bookmarkStart w:id="1186" w:name="_Toc38439628"/>
      <w:bookmarkStart w:id="1187" w:name="_Toc38439965"/>
      <w:bookmarkStart w:id="1188" w:name="_Toc38440302"/>
      <w:bookmarkStart w:id="1189" w:name="_Toc38440635"/>
      <w:bookmarkStart w:id="1190" w:name="_Toc38440834"/>
      <w:bookmarkStart w:id="1191" w:name="_Toc38441166"/>
      <w:bookmarkStart w:id="1192" w:name="_Toc38441498"/>
      <w:bookmarkStart w:id="1193" w:name="_Toc38441826"/>
      <w:bookmarkStart w:id="1194" w:name="_Toc38442158"/>
      <w:bookmarkStart w:id="1195" w:name="_Toc38442490"/>
      <w:bookmarkStart w:id="1196" w:name="_Toc38442821"/>
      <w:bookmarkStart w:id="1197" w:name="_Toc38443152"/>
      <w:bookmarkStart w:id="1198" w:name="_Toc38443483"/>
      <w:bookmarkStart w:id="1199" w:name="_Toc38443814"/>
      <w:bookmarkStart w:id="1200" w:name="_Toc38438281"/>
      <w:bookmarkStart w:id="1201" w:name="_Toc38438618"/>
      <w:bookmarkStart w:id="1202" w:name="_Toc38438955"/>
      <w:bookmarkStart w:id="1203" w:name="_Toc38439292"/>
      <w:bookmarkStart w:id="1204" w:name="_Toc38439629"/>
      <w:bookmarkStart w:id="1205" w:name="_Toc38439966"/>
      <w:bookmarkStart w:id="1206" w:name="_Toc38440303"/>
      <w:bookmarkStart w:id="1207" w:name="_Toc38440636"/>
      <w:bookmarkStart w:id="1208" w:name="_Toc38440835"/>
      <w:bookmarkStart w:id="1209" w:name="_Toc38441167"/>
      <w:bookmarkStart w:id="1210" w:name="_Toc38441499"/>
      <w:bookmarkStart w:id="1211" w:name="_Toc38441827"/>
      <w:bookmarkStart w:id="1212" w:name="_Toc38442159"/>
      <w:bookmarkStart w:id="1213" w:name="_Toc38442491"/>
      <w:bookmarkStart w:id="1214" w:name="_Toc38442822"/>
      <w:bookmarkStart w:id="1215" w:name="_Toc38443153"/>
      <w:bookmarkStart w:id="1216" w:name="_Toc38443484"/>
      <w:bookmarkStart w:id="1217" w:name="_Toc38443815"/>
      <w:bookmarkStart w:id="1218" w:name="_Toc38438282"/>
      <w:bookmarkStart w:id="1219" w:name="_Toc38438619"/>
      <w:bookmarkStart w:id="1220" w:name="_Toc38438956"/>
      <w:bookmarkStart w:id="1221" w:name="_Toc38439293"/>
      <w:bookmarkStart w:id="1222" w:name="_Toc38439630"/>
      <w:bookmarkStart w:id="1223" w:name="_Toc38439967"/>
      <w:bookmarkStart w:id="1224" w:name="_Toc38440304"/>
      <w:bookmarkStart w:id="1225" w:name="_Toc38440637"/>
      <w:bookmarkStart w:id="1226" w:name="_Toc38440836"/>
      <w:bookmarkStart w:id="1227" w:name="_Toc38441168"/>
      <w:bookmarkStart w:id="1228" w:name="_Toc38441500"/>
      <w:bookmarkStart w:id="1229" w:name="_Toc38441828"/>
      <w:bookmarkStart w:id="1230" w:name="_Toc38442160"/>
      <w:bookmarkStart w:id="1231" w:name="_Toc38442492"/>
      <w:bookmarkStart w:id="1232" w:name="_Toc38442823"/>
      <w:bookmarkStart w:id="1233" w:name="_Toc38443154"/>
      <w:bookmarkStart w:id="1234" w:name="_Toc38443485"/>
      <w:bookmarkStart w:id="1235" w:name="_Toc38443816"/>
      <w:bookmarkStart w:id="1236" w:name="_Toc38438283"/>
      <w:bookmarkStart w:id="1237" w:name="_Toc38438620"/>
      <w:bookmarkStart w:id="1238" w:name="_Toc38438957"/>
      <w:bookmarkStart w:id="1239" w:name="_Toc38439294"/>
      <w:bookmarkStart w:id="1240" w:name="_Toc38439631"/>
      <w:bookmarkStart w:id="1241" w:name="_Toc38439968"/>
      <w:bookmarkStart w:id="1242" w:name="_Toc38440305"/>
      <w:bookmarkStart w:id="1243" w:name="_Toc38440638"/>
      <w:bookmarkStart w:id="1244" w:name="_Toc38440837"/>
      <w:bookmarkStart w:id="1245" w:name="_Toc38441169"/>
      <w:bookmarkStart w:id="1246" w:name="_Toc38441501"/>
      <w:bookmarkStart w:id="1247" w:name="_Toc38441829"/>
      <w:bookmarkStart w:id="1248" w:name="_Toc38442161"/>
      <w:bookmarkStart w:id="1249" w:name="_Toc38442493"/>
      <w:bookmarkStart w:id="1250" w:name="_Toc38442824"/>
      <w:bookmarkStart w:id="1251" w:name="_Toc38443155"/>
      <w:bookmarkStart w:id="1252" w:name="_Toc38443486"/>
      <w:bookmarkStart w:id="1253" w:name="_Toc38443817"/>
      <w:bookmarkStart w:id="1254" w:name="_Toc38438284"/>
      <w:bookmarkStart w:id="1255" w:name="_Toc38438621"/>
      <w:bookmarkStart w:id="1256" w:name="_Toc38438958"/>
      <w:bookmarkStart w:id="1257" w:name="_Toc38439295"/>
      <w:bookmarkStart w:id="1258" w:name="_Toc38439632"/>
      <w:bookmarkStart w:id="1259" w:name="_Toc38439969"/>
      <w:bookmarkStart w:id="1260" w:name="_Toc38440306"/>
      <w:bookmarkStart w:id="1261" w:name="_Toc38440639"/>
      <w:bookmarkStart w:id="1262" w:name="_Toc38440838"/>
      <w:bookmarkStart w:id="1263" w:name="_Toc38441170"/>
      <w:bookmarkStart w:id="1264" w:name="_Toc38441502"/>
      <w:bookmarkStart w:id="1265" w:name="_Toc38441830"/>
      <w:bookmarkStart w:id="1266" w:name="_Toc38442162"/>
      <w:bookmarkStart w:id="1267" w:name="_Toc38442494"/>
      <w:bookmarkStart w:id="1268" w:name="_Toc38442825"/>
      <w:bookmarkStart w:id="1269" w:name="_Toc38443156"/>
      <w:bookmarkStart w:id="1270" w:name="_Toc38443487"/>
      <w:bookmarkStart w:id="1271" w:name="_Toc38443818"/>
      <w:bookmarkStart w:id="1272" w:name="_Toc38438285"/>
      <w:bookmarkStart w:id="1273" w:name="_Toc38438622"/>
      <w:bookmarkStart w:id="1274" w:name="_Toc38438959"/>
      <w:bookmarkStart w:id="1275" w:name="_Toc38439296"/>
      <w:bookmarkStart w:id="1276" w:name="_Toc38439633"/>
      <w:bookmarkStart w:id="1277" w:name="_Toc38439970"/>
      <w:bookmarkStart w:id="1278" w:name="_Toc38440307"/>
      <w:bookmarkStart w:id="1279" w:name="_Toc38440640"/>
      <w:bookmarkStart w:id="1280" w:name="_Toc38440839"/>
      <w:bookmarkStart w:id="1281" w:name="_Toc38441171"/>
      <w:bookmarkStart w:id="1282" w:name="_Toc38441503"/>
      <w:bookmarkStart w:id="1283" w:name="_Toc38441831"/>
      <w:bookmarkStart w:id="1284" w:name="_Toc38442163"/>
      <w:bookmarkStart w:id="1285" w:name="_Toc38442495"/>
      <w:bookmarkStart w:id="1286" w:name="_Toc38442826"/>
      <w:bookmarkStart w:id="1287" w:name="_Toc38443157"/>
      <w:bookmarkStart w:id="1288" w:name="_Toc38443488"/>
      <w:bookmarkStart w:id="1289" w:name="_Toc38443819"/>
      <w:bookmarkStart w:id="1290" w:name="_Toc38438286"/>
      <w:bookmarkStart w:id="1291" w:name="_Toc38438623"/>
      <w:bookmarkStart w:id="1292" w:name="_Toc38438960"/>
      <w:bookmarkStart w:id="1293" w:name="_Toc38439297"/>
      <w:bookmarkStart w:id="1294" w:name="_Toc38439634"/>
      <w:bookmarkStart w:id="1295" w:name="_Toc38439971"/>
      <w:bookmarkStart w:id="1296" w:name="_Toc38440308"/>
      <w:bookmarkStart w:id="1297" w:name="_Toc38440641"/>
      <w:bookmarkStart w:id="1298" w:name="_Toc38440840"/>
      <w:bookmarkStart w:id="1299" w:name="_Toc38441172"/>
      <w:bookmarkStart w:id="1300" w:name="_Toc38441504"/>
      <w:bookmarkStart w:id="1301" w:name="_Toc38441832"/>
      <w:bookmarkStart w:id="1302" w:name="_Toc38442164"/>
      <w:bookmarkStart w:id="1303" w:name="_Toc38442496"/>
      <w:bookmarkStart w:id="1304" w:name="_Toc38442827"/>
      <w:bookmarkStart w:id="1305" w:name="_Toc38443158"/>
      <w:bookmarkStart w:id="1306" w:name="_Toc38443489"/>
      <w:bookmarkStart w:id="1307" w:name="_Toc38443820"/>
      <w:bookmarkStart w:id="1308" w:name="_Toc38438287"/>
      <w:bookmarkStart w:id="1309" w:name="_Toc38438624"/>
      <w:bookmarkStart w:id="1310" w:name="_Toc38438961"/>
      <w:bookmarkStart w:id="1311" w:name="_Toc38439298"/>
      <w:bookmarkStart w:id="1312" w:name="_Toc38439635"/>
      <w:bookmarkStart w:id="1313" w:name="_Toc38439972"/>
      <w:bookmarkStart w:id="1314" w:name="_Toc38440309"/>
      <w:bookmarkStart w:id="1315" w:name="_Toc38440642"/>
      <w:bookmarkStart w:id="1316" w:name="_Toc38440841"/>
      <w:bookmarkStart w:id="1317" w:name="_Toc38441173"/>
      <w:bookmarkStart w:id="1318" w:name="_Toc38441505"/>
      <w:bookmarkStart w:id="1319" w:name="_Toc38441833"/>
      <w:bookmarkStart w:id="1320" w:name="_Toc38442165"/>
      <w:bookmarkStart w:id="1321" w:name="_Toc38442497"/>
      <w:bookmarkStart w:id="1322" w:name="_Toc38442828"/>
      <w:bookmarkStart w:id="1323" w:name="_Toc38443159"/>
      <w:bookmarkStart w:id="1324" w:name="_Toc38443490"/>
      <w:bookmarkStart w:id="1325" w:name="_Toc38443821"/>
      <w:bookmarkStart w:id="1326" w:name="_Toc38438288"/>
      <w:bookmarkStart w:id="1327" w:name="_Toc38438625"/>
      <w:bookmarkStart w:id="1328" w:name="_Toc38438962"/>
      <w:bookmarkStart w:id="1329" w:name="_Toc38439299"/>
      <w:bookmarkStart w:id="1330" w:name="_Toc38439636"/>
      <w:bookmarkStart w:id="1331" w:name="_Toc38439973"/>
      <w:bookmarkStart w:id="1332" w:name="_Toc38440310"/>
      <w:bookmarkStart w:id="1333" w:name="_Toc38440643"/>
      <w:bookmarkStart w:id="1334" w:name="_Toc38440842"/>
      <w:bookmarkStart w:id="1335" w:name="_Toc38441174"/>
      <w:bookmarkStart w:id="1336" w:name="_Toc38441506"/>
      <w:bookmarkStart w:id="1337" w:name="_Toc38441834"/>
      <w:bookmarkStart w:id="1338" w:name="_Toc38442166"/>
      <w:bookmarkStart w:id="1339" w:name="_Toc38442498"/>
      <w:bookmarkStart w:id="1340" w:name="_Toc38442829"/>
      <w:bookmarkStart w:id="1341" w:name="_Toc38443160"/>
      <w:bookmarkStart w:id="1342" w:name="_Toc38443491"/>
      <w:bookmarkStart w:id="1343" w:name="_Toc38443822"/>
      <w:bookmarkStart w:id="1344" w:name="_Toc38438289"/>
      <w:bookmarkStart w:id="1345" w:name="_Toc38438626"/>
      <w:bookmarkStart w:id="1346" w:name="_Toc38438963"/>
      <w:bookmarkStart w:id="1347" w:name="_Toc38439300"/>
      <w:bookmarkStart w:id="1348" w:name="_Toc38439637"/>
      <w:bookmarkStart w:id="1349" w:name="_Toc38439974"/>
      <w:bookmarkStart w:id="1350" w:name="_Toc38440311"/>
      <w:bookmarkStart w:id="1351" w:name="_Toc38440644"/>
      <w:bookmarkStart w:id="1352" w:name="_Toc38440843"/>
      <w:bookmarkStart w:id="1353" w:name="_Toc38441175"/>
      <w:bookmarkStart w:id="1354" w:name="_Toc38441507"/>
      <w:bookmarkStart w:id="1355" w:name="_Toc38441835"/>
      <w:bookmarkStart w:id="1356" w:name="_Toc38442167"/>
      <w:bookmarkStart w:id="1357" w:name="_Toc38442499"/>
      <w:bookmarkStart w:id="1358" w:name="_Toc38442830"/>
      <w:bookmarkStart w:id="1359" w:name="_Toc38443161"/>
      <w:bookmarkStart w:id="1360" w:name="_Toc38443492"/>
      <w:bookmarkStart w:id="1361" w:name="_Toc38443823"/>
      <w:bookmarkStart w:id="1362" w:name="_Toc38438290"/>
      <w:bookmarkStart w:id="1363" w:name="_Toc38438627"/>
      <w:bookmarkStart w:id="1364" w:name="_Toc38438964"/>
      <w:bookmarkStart w:id="1365" w:name="_Toc38439301"/>
      <w:bookmarkStart w:id="1366" w:name="_Toc38439638"/>
      <w:bookmarkStart w:id="1367" w:name="_Toc38439975"/>
      <w:bookmarkStart w:id="1368" w:name="_Toc38440312"/>
      <w:bookmarkStart w:id="1369" w:name="_Toc38440645"/>
      <w:bookmarkStart w:id="1370" w:name="_Toc38440844"/>
      <w:bookmarkStart w:id="1371" w:name="_Toc38441176"/>
      <w:bookmarkStart w:id="1372" w:name="_Toc38441508"/>
      <w:bookmarkStart w:id="1373" w:name="_Toc38441836"/>
      <w:bookmarkStart w:id="1374" w:name="_Toc38442168"/>
      <w:bookmarkStart w:id="1375" w:name="_Toc38442500"/>
      <w:bookmarkStart w:id="1376" w:name="_Toc38442831"/>
      <w:bookmarkStart w:id="1377" w:name="_Toc38443162"/>
      <w:bookmarkStart w:id="1378" w:name="_Toc38443493"/>
      <w:bookmarkStart w:id="1379" w:name="_Toc38443824"/>
      <w:bookmarkStart w:id="1380" w:name="_Toc38438291"/>
      <w:bookmarkStart w:id="1381" w:name="_Toc38438628"/>
      <w:bookmarkStart w:id="1382" w:name="_Toc38438965"/>
      <w:bookmarkStart w:id="1383" w:name="_Toc38439302"/>
      <w:bookmarkStart w:id="1384" w:name="_Toc38439639"/>
      <w:bookmarkStart w:id="1385" w:name="_Toc38439976"/>
      <w:bookmarkStart w:id="1386" w:name="_Toc38440313"/>
      <w:bookmarkStart w:id="1387" w:name="_Toc38440646"/>
      <w:bookmarkStart w:id="1388" w:name="_Toc38440845"/>
      <w:bookmarkStart w:id="1389" w:name="_Toc38441177"/>
      <w:bookmarkStart w:id="1390" w:name="_Toc38441509"/>
      <w:bookmarkStart w:id="1391" w:name="_Toc38441837"/>
      <w:bookmarkStart w:id="1392" w:name="_Toc38442169"/>
      <w:bookmarkStart w:id="1393" w:name="_Toc38442501"/>
      <w:bookmarkStart w:id="1394" w:name="_Toc38442832"/>
      <w:bookmarkStart w:id="1395" w:name="_Toc38443163"/>
      <w:bookmarkStart w:id="1396" w:name="_Toc38443494"/>
      <w:bookmarkStart w:id="1397" w:name="_Toc38443825"/>
      <w:bookmarkStart w:id="1398" w:name="_Toc38438292"/>
      <w:bookmarkStart w:id="1399" w:name="_Toc38438629"/>
      <w:bookmarkStart w:id="1400" w:name="_Toc38438966"/>
      <w:bookmarkStart w:id="1401" w:name="_Toc38439303"/>
      <w:bookmarkStart w:id="1402" w:name="_Toc38439640"/>
      <w:bookmarkStart w:id="1403" w:name="_Toc38439977"/>
      <w:bookmarkStart w:id="1404" w:name="_Toc38440314"/>
      <w:bookmarkStart w:id="1405" w:name="_Toc38440647"/>
      <w:bookmarkStart w:id="1406" w:name="_Toc38440846"/>
      <w:bookmarkStart w:id="1407" w:name="_Toc38441178"/>
      <w:bookmarkStart w:id="1408" w:name="_Toc38441510"/>
      <w:bookmarkStart w:id="1409" w:name="_Toc38441838"/>
      <w:bookmarkStart w:id="1410" w:name="_Toc38442170"/>
      <w:bookmarkStart w:id="1411" w:name="_Toc38442502"/>
      <w:bookmarkStart w:id="1412" w:name="_Toc38442833"/>
      <w:bookmarkStart w:id="1413" w:name="_Toc38443164"/>
      <w:bookmarkStart w:id="1414" w:name="_Toc38443495"/>
      <w:bookmarkStart w:id="1415" w:name="_Toc38443826"/>
      <w:bookmarkStart w:id="1416" w:name="_Toc38438293"/>
      <w:bookmarkStart w:id="1417" w:name="_Toc38438630"/>
      <w:bookmarkStart w:id="1418" w:name="_Toc38438967"/>
      <w:bookmarkStart w:id="1419" w:name="_Toc38439304"/>
      <w:bookmarkStart w:id="1420" w:name="_Toc38439641"/>
      <w:bookmarkStart w:id="1421" w:name="_Toc38439978"/>
      <w:bookmarkStart w:id="1422" w:name="_Toc38440315"/>
      <w:bookmarkStart w:id="1423" w:name="_Toc38440648"/>
      <w:bookmarkStart w:id="1424" w:name="_Toc38440847"/>
      <w:bookmarkStart w:id="1425" w:name="_Toc38441179"/>
      <w:bookmarkStart w:id="1426" w:name="_Toc38441511"/>
      <w:bookmarkStart w:id="1427" w:name="_Toc38441839"/>
      <w:bookmarkStart w:id="1428" w:name="_Toc38442171"/>
      <w:bookmarkStart w:id="1429" w:name="_Toc38442503"/>
      <w:bookmarkStart w:id="1430" w:name="_Toc38442834"/>
      <w:bookmarkStart w:id="1431" w:name="_Toc38443165"/>
      <w:bookmarkStart w:id="1432" w:name="_Toc38443496"/>
      <w:bookmarkStart w:id="1433" w:name="_Toc38443827"/>
      <w:bookmarkStart w:id="1434" w:name="_Toc38438296"/>
      <w:bookmarkStart w:id="1435" w:name="_Toc38438633"/>
      <w:bookmarkStart w:id="1436" w:name="_Toc38438970"/>
      <w:bookmarkStart w:id="1437" w:name="_Toc38439307"/>
      <w:bookmarkStart w:id="1438" w:name="_Toc38439644"/>
      <w:bookmarkStart w:id="1439" w:name="_Toc38439981"/>
      <w:bookmarkStart w:id="1440" w:name="_Toc38440318"/>
      <w:bookmarkStart w:id="1441" w:name="_Toc38440651"/>
      <w:bookmarkStart w:id="1442" w:name="_Toc38440850"/>
      <w:bookmarkStart w:id="1443" w:name="_Toc38441182"/>
      <w:bookmarkStart w:id="1444" w:name="_Toc38441514"/>
      <w:bookmarkStart w:id="1445" w:name="_Toc38441842"/>
      <w:bookmarkStart w:id="1446" w:name="_Toc38442174"/>
      <w:bookmarkStart w:id="1447" w:name="_Toc38442506"/>
      <w:bookmarkStart w:id="1448" w:name="_Toc38442837"/>
      <w:bookmarkStart w:id="1449" w:name="_Toc38443168"/>
      <w:bookmarkStart w:id="1450" w:name="_Toc38443499"/>
      <w:bookmarkStart w:id="1451" w:name="_Toc38443830"/>
      <w:bookmarkStart w:id="1452" w:name="_Toc38438297"/>
      <w:bookmarkStart w:id="1453" w:name="_Toc38438634"/>
      <w:bookmarkStart w:id="1454" w:name="_Toc38438971"/>
      <w:bookmarkStart w:id="1455" w:name="_Toc38439308"/>
      <w:bookmarkStart w:id="1456" w:name="_Toc38439645"/>
      <w:bookmarkStart w:id="1457" w:name="_Toc38439982"/>
      <w:bookmarkStart w:id="1458" w:name="_Toc38440319"/>
      <w:bookmarkStart w:id="1459" w:name="_Toc38440652"/>
      <w:bookmarkStart w:id="1460" w:name="_Toc38440851"/>
      <w:bookmarkStart w:id="1461" w:name="_Toc38441183"/>
      <w:bookmarkStart w:id="1462" w:name="_Toc38441515"/>
      <w:bookmarkStart w:id="1463" w:name="_Toc38441843"/>
      <w:bookmarkStart w:id="1464" w:name="_Toc38442175"/>
      <w:bookmarkStart w:id="1465" w:name="_Toc38442507"/>
      <w:bookmarkStart w:id="1466" w:name="_Toc38442838"/>
      <w:bookmarkStart w:id="1467" w:name="_Toc38443169"/>
      <w:bookmarkStart w:id="1468" w:name="_Toc38443500"/>
      <w:bookmarkStart w:id="1469" w:name="_Toc38443831"/>
      <w:bookmarkStart w:id="1470" w:name="_Toc38438298"/>
      <w:bookmarkStart w:id="1471" w:name="_Toc38438635"/>
      <w:bookmarkStart w:id="1472" w:name="_Toc38438972"/>
      <w:bookmarkStart w:id="1473" w:name="_Toc38439309"/>
      <w:bookmarkStart w:id="1474" w:name="_Toc38439646"/>
      <w:bookmarkStart w:id="1475" w:name="_Toc38439983"/>
      <w:bookmarkStart w:id="1476" w:name="_Toc38440320"/>
      <w:bookmarkStart w:id="1477" w:name="_Toc38440653"/>
      <w:bookmarkStart w:id="1478" w:name="_Toc38440852"/>
      <w:bookmarkStart w:id="1479" w:name="_Toc38441184"/>
      <w:bookmarkStart w:id="1480" w:name="_Toc38441516"/>
      <w:bookmarkStart w:id="1481" w:name="_Toc38441844"/>
      <w:bookmarkStart w:id="1482" w:name="_Toc38442176"/>
      <w:bookmarkStart w:id="1483" w:name="_Toc38442508"/>
      <w:bookmarkStart w:id="1484" w:name="_Toc38442839"/>
      <w:bookmarkStart w:id="1485" w:name="_Toc38443170"/>
      <w:bookmarkStart w:id="1486" w:name="_Toc38443501"/>
      <w:bookmarkStart w:id="1487" w:name="_Toc38443832"/>
      <w:bookmarkStart w:id="1488" w:name="_Toc38438299"/>
      <w:bookmarkStart w:id="1489" w:name="_Toc38438636"/>
      <w:bookmarkStart w:id="1490" w:name="_Toc38438973"/>
      <w:bookmarkStart w:id="1491" w:name="_Toc38439310"/>
      <w:bookmarkStart w:id="1492" w:name="_Toc38439647"/>
      <w:bookmarkStart w:id="1493" w:name="_Toc38439984"/>
      <w:bookmarkStart w:id="1494" w:name="_Toc38440321"/>
      <w:bookmarkStart w:id="1495" w:name="_Toc38440654"/>
      <w:bookmarkStart w:id="1496" w:name="_Toc38440853"/>
      <w:bookmarkStart w:id="1497" w:name="_Toc38441185"/>
      <w:bookmarkStart w:id="1498" w:name="_Toc38441517"/>
      <w:bookmarkStart w:id="1499" w:name="_Toc38441845"/>
      <w:bookmarkStart w:id="1500" w:name="_Toc38442177"/>
      <w:bookmarkStart w:id="1501" w:name="_Toc38442509"/>
      <w:bookmarkStart w:id="1502" w:name="_Toc38442840"/>
      <w:bookmarkStart w:id="1503" w:name="_Toc38443171"/>
      <w:bookmarkStart w:id="1504" w:name="_Toc38443502"/>
      <w:bookmarkStart w:id="1505" w:name="_Toc38443833"/>
      <w:bookmarkStart w:id="1506" w:name="_Toc38438301"/>
      <w:bookmarkStart w:id="1507" w:name="_Toc38438638"/>
      <w:bookmarkStart w:id="1508" w:name="_Toc38438975"/>
      <w:bookmarkStart w:id="1509" w:name="_Toc38439312"/>
      <w:bookmarkStart w:id="1510" w:name="_Toc38439649"/>
      <w:bookmarkStart w:id="1511" w:name="_Toc38439986"/>
      <w:bookmarkStart w:id="1512" w:name="_Toc38440323"/>
      <w:bookmarkStart w:id="1513" w:name="_Toc38440656"/>
      <w:bookmarkStart w:id="1514" w:name="_Toc38440855"/>
      <w:bookmarkStart w:id="1515" w:name="_Toc38441187"/>
      <w:bookmarkStart w:id="1516" w:name="_Toc38441519"/>
      <w:bookmarkStart w:id="1517" w:name="_Toc38441847"/>
      <w:bookmarkStart w:id="1518" w:name="_Toc38442179"/>
      <w:bookmarkStart w:id="1519" w:name="_Toc38442511"/>
      <w:bookmarkStart w:id="1520" w:name="_Toc38442842"/>
      <w:bookmarkStart w:id="1521" w:name="_Toc38443173"/>
      <w:bookmarkStart w:id="1522" w:name="_Toc38443504"/>
      <w:bookmarkStart w:id="1523" w:name="_Toc38443835"/>
      <w:bookmarkStart w:id="1524" w:name="_Toc38438302"/>
      <w:bookmarkStart w:id="1525" w:name="_Toc38438639"/>
      <w:bookmarkStart w:id="1526" w:name="_Toc38438976"/>
      <w:bookmarkStart w:id="1527" w:name="_Toc38439313"/>
      <w:bookmarkStart w:id="1528" w:name="_Toc38439650"/>
      <w:bookmarkStart w:id="1529" w:name="_Toc38439987"/>
      <w:bookmarkStart w:id="1530" w:name="_Toc38440324"/>
      <w:bookmarkStart w:id="1531" w:name="_Toc38440657"/>
      <w:bookmarkStart w:id="1532" w:name="_Toc38440856"/>
      <w:bookmarkStart w:id="1533" w:name="_Toc38441188"/>
      <w:bookmarkStart w:id="1534" w:name="_Toc38441520"/>
      <w:bookmarkStart w:id="1535" w:name="_Toc38441848"/>
      <w:bookmarkStart w:id="1536" w:name="_Toc38442180"/>
      <w:bookmarkStart w:id="1537" w:name="_Toc38442512"/>
      <w:bookmarkStart w:id="1538" w:name="_Toc38442843"/>
      <w:bookmarkStart w:id="1539" w:name="_Toc38443174"/>
      <w:bookmarkStart w:id="1540" w:name="_Toc38443505"/>
      <w:bookmarkStart w:id="1541" w:name="_Toc38443836"/>
      <w:bookmarkStart w:id="1542" w:name="_Toc38438303"/>
      <w:bookmarkStart w:id="1543" w:name="_Toc38438640"/>
      <w:bookmarkStart w:id="1544" w:name="_Toc38438977"/>
      <w:bookmarkStart w:id="1545" w:name="_Toc38439314"/>
      <w:bookmarkStart w:id="1546" w:name="_Toc38439651"/>
      <w:bookmarkStart w:id="1547" w:name="_Toc38439988"/>
      <w:bookmarkStart w:id="1548" w:name="_Toc38440325"/>
      <w:bookmarkStart w:id="1549" w:name="_Toc38440658"/>
      <w:bookmarkStart w:id="1550" w:name="_Toc38440857"/>
      <w:bookmarkStart w:id="1551" w:name="_Toc38441189"/>
      <w:bookmarkStart w:id="1552" w:name="_Toc38441521"/>
      <w:bookmarkStart w:id="1553" w:name="_Toc38441849"/>
      <w:bookmarkStart w:id="1554" w:name="_Toc38442181"/>
      <w:bookmarkStart w:id="1555" w:name="_Toc38442513"/>
      <w:bookmarkStart w:id="1556" w:name="_Toc38442844"/>
      <w:bookmarkStart w:id="1557" w:name="_Toc38443175"/>
      <w:bookmarkStart w:id="1558" w:name="_Toc38443506"/>
      <w:bookmarkStart w:id="1559" w:name="_Toc38443837"/>
      <w:bookmarkStart w:id="1560" w:name="_Toc38438304"/>
      <w:bookmarkStart w:id="1561" w:name="_Toc38438641"/>
      <w:bookmarkStart w:id="1562" w:name="_Toc38438978"/>
      <w:bookmarkStart w:id="1563" w:name="_Toc38439315"/>
      <w:bookmarkStart w:id="1564" w:name="_Toc38439652"/>
      <w:bookmarkStart w:id="1565" w:name="_Toc38439989"/>
      <w:bookmarkStart w:id="1566" w:name="_Toc38440326"/>
      <w:bookmarkStart w:id="1567" w:name="_Toc38440659"/>
      <w:bookmarkStart w:id="1568" w:name="_Toc38440858"/>
      <w:bookmarkStart w:id="1569" w:name="_Toc38441190"/>
      <w:bookmarkStart w:id="1570" w:name="_Toc38441522"/>
      <w:bookmarkStart w:id="1571" w:name="_Toc38441850"/>
      <w:bookmarkStart w:id="1572" w:name="_Toc38442182"/>
      <w:bookmarkStart w:id="1573" w:name="_Toc38442514"/>
      <w:bookmarkStart w:id="1574" w:name="_Toc38442845"/>
      <w:bookmarkStart w:id="1575" w:name="_Toc38443176"/>
      <w:bookmarkStart w:id="1576" w:name="_Toc38443507"/>
      <w:bookmarkStart w:id="1577" w:name="_Toc38443838"/>
      <w:bookmarkStart w:id="1578" w:name="_Toc38438305"/>
      <w:bookmarkStart w:id="1579" w:name="_Toc38438642"/>
      <w:bookmarkStart w:id="1580" w:name="_Toc38438979"/>
      <w:bookmarkStart w:id="1581" w:name="_Toc38439316"/>
      <w:bookmarkStart w:id="1582" w:name="_Toc38439653"/>
      <w:bookmarkStart w:id="1583" w:name="_Toc38439990"/>
      <w:bookmarkStart w:id="1584" w:name="_Toc38440327"/>
      <w:bookmarkStart w:id="1585" w:name="_Toc38440660"/>
      <w:bookmarkStart w:id="1586" w:name="_Toc38440859"/>
      <w:bookmarkStart w:id="1587" w:name="_Toc38441191"/>
      <w:bookmarkStart w:id="1588" w:name="_Toc38441523"/>
      <w:bookmarkStart w:id="1589" w:name="_Toc38441851"/>
      <w:bookmarkStart w:id="1590" w:name="_Toc38442183"/>
      <w:bookmarkStart w:id="1591" w:name="_Toc38442515"/>
      <w:bookmarkStart w:id="1592" w:name="_Toc38442846"/>
      <w:bookmarkStart w:id="1593" w:name="_Toc38443177"/>
      <w:bookmarkStart w:id="1594" w:name="_Toc38443508"/>
      <w:bookmarkStart w:id="1595" w:name="_Toc38443839"/>
      <w:bookmarkStart w:id="1596" w:name="_Toc38438306"/>
      <w:bookmarkStart w:id="1597" w:name="_Toc38438643"/>
      <w:bookmarkStart w:id="1598" w:name="_Toc38438980"/>
      <w:bookmarkStart w:id="1599" w:name="_Toc38439317"/>
      <w:bookmarkStart w:id="1600" w:name="_Toc38439654"/>
      <w:bookmarkStart w:id="1601" w:name="_Toc38439991"/>
      <w:bookmarkStart w:id="1602" w:name="_Toc38440328"/>
      <w:bookmarkStart w:id="1603" w:name="_Toc38440661"/>
      <w:bookmarkStart w:id="1604" w:name="_Toc38440860"/>
      <w:bookmarkStart w:id="1605" w:name="_Toc38441192"/>
      <w:bookmarkStart w:id="1606" w:name="_Toc38441524"/>
      <w:bookmarkStart w:id="1607" w:name="_Toc38441852"/>
      <w:bookmarkStart w:id="1608" w:name="_Toc38442184"/>
      <w:bookmarkStart w:id="1609" w:name="_Toc38442516"/>
      <w:bookmarkStart w:id="1610" w:name="_Toc38442847"/>
      <w:bookmarkStart w:id="1611" w:name="_Toc38443178"/>
      <w:bookmarkStart w:id="1612" w:name="_Toc38443509"/>
      <w:bookmarkStart w:id="1613" w:name="_Toc38443840"/>
      <w:bookmarkStart w:id="1614" w:name="_Toc38438310"/>
      <w:bookmarkStart w:id="1615" w:name="_Toc38438647"/>
      <w:bookmarkStart w:id="1616" w:name="_Toc38438984"/>
      <w:bookmarkStart w:id="1617" w:name="_Toc38439321"/>
      <w:bookmarkStart w:id="1618" w:name="_Toc38439658"/>
      <w:bookmarkStart w:id="1619" w:name="_Toc38439995"/>
      <w:bookmarkStart w:id="1620" w:name="_Toc38440332"/>
      <w:bookmarkStart w:id="1621" w:name="_Toc38440665"/>
      <w:bookmarkStart w:id="1622" w:name="_Toc38440864"/>
      <w:bookmarkStart w:id="1623" w:name="_Toc38441196"/>
      <w:bookmarkStart w:id="1624" w:name="_Toc38441528"/>
      <w:bookmarkStart w:id="1625" w:name="_Toc38441856"/>
      <w:bookmarkStart w:id="1626" w:name="_Toc38442188"/>
      <w:bookmarkStart w:id="1627" w:name="_Toc38442520"/>
      <w:bookmarkStart w:id="1628" w:name="_Toc38442851"/>
      <w:bookmarkStart w:id="1629" w:name="_Toc38443182"/>
      <w:bookmarkStart w:id="1630" w:name="_Toc38443513"/>
      <w:bookmarkStart w:id="1631" w:name="_Toc38443844"/>
      <w:bookmarkStart w:id="1632" w:name="_Toc38438311"/>
      <w:bookmarkStart w:id="1633" w:name="_Toc38438648"/>
      <w:bookmarkStart w:id="1634" w:name="_Toc38438985"/>
      <w:bookmarkStart w:id="1635" w:name="_Toc38439322"/>
      <w:bookmarkStart w:id="1636" w:name="_Toc38439659"/>
      <w:bookmarkStart w:id="1637" w:name="_Toc38439996"/>
      <w:bookmarkStart w:id="1638" w:name="_Toc38440333"/>
      <w:bookmarkStart w:id="1639" w:name="_Toc38440666"/>
      <w:bookmarkStart w:id="1640" w:name="_Toc38440865"/>
      <w:bookmarkStart w:id="1641" w:name="_Toc38441197"/>
      <w:bookmarkStart w:id="1642" w:name="_Toc38441529"/>
      <w:bookmarkStart w:id="1643" w:name="_Toc38441857"/>
      <w:bookmarkStart w:id="1644" w:name="_Toc38442189"/>
      <w:bookmarkStart w:id="1645" w:name="_Toc38442521"/>
      <w:bookmarkStart w:id="1646" w:name="_Toc38442852"/>
      <w:bookmarkStart w:id="1647" w:name="_Toc38443183"/>
      <w:bookmarkStart w:id="1648" w:name="_Toc38443514"/>
      <w:bookmarkStart w:id="1649" w:name="_Toc38443845"/>
      <w:bookmarkStart w:id="1650" w:name="_Toc38438312"/>
      <w:bookmarkStart w:id="1651" w:name="_Toc38438649"/>
      <w:bookmarkStart w:id="1652" w:name="_Toc38438986"/>
      <w:bookmarkStart w:id="1653" w:name="_Toc38439323"/>
      <w:bookmarkStart w:id="1654" w:name="_Toc38439660"/>
      <w:bookmarkStart w:id="1655" w:name="_Toc38439997"/>
      <w:bookmarkStart w:id="1656" w:name="_Toc38440334"/>
      <w:bookmarkStart w:id="1657" w:name="_Toc38440667"/>
      <w:bookmarkStart w:id="1658" w:name="_Toc38440866"/>
      <w:bookmarkStart w:id="1659" w:name="_Toc38441198"/>
      <w:bookmarkStart w:id="1660" w:name="_Toc38441530"/>
      <w:bookmarkStart w:id="1661" w:name="_Toc38441858"/>
      <w:bookmarkStart w:id="1662" w:name="_Toc38442190"/>
      <w:bookmarkStart w:id="1663" w:name="_Toc38442522"/>
      <w:bookmarkStart w:id="1664" w:name="_Toc38442853"/>
      <w:bookmarkStart w:id="1665" w:name="_Toc38443184"/>
      <w:bookmarkStart w:id="1666" w:name="_Toc38443515"/>
      <w:bookmarkStart w:id="1667" w:name="_Toc38443846"/>
      <w:bookmarkStart w:id="1668" w:name="_Toc38438313"/>
      <w:bookmarkStart w:id="1669" w:name="_Toc38438650"/>
      <w:bookmarkStart w:id="1670" w:name="_Toc38438987"/>
      <w:bookmarkStart w:id="1671" w:name="_Toc38439324"/>
      <w:bookmarkStart w:id="1672" w:name="_Toc38439661"/>
      <w:bookmarkStart w:id="1673" w:name="_Toc38439998"/>
      <w:bookmarkStart w:id="1674" w:name="_Toc38440335"/>
      <w:bookmarkStart w:id="1675" w:name="_Toc38440668"/>
      <w:bookmarkStart w:id="1676" w:name="_Toc38440867"/>
      <w:bookmarkStart w:id="1677" w:name="_Toc38441199"/>
      <w:bookmarkStart w:id="1678" w:name="_Toc38441531"/>
      <w:bookmarkStart w:id="1679" w:name="_Toc38441859"/>
      <w:bookmarkStart w:id="1680" w:name="_Toc38442191"/>
      <w:bookmarkStart w:id="1681" w:name="_Toc38442523"/>
      <w:bookmarkStart w:id="1682" w:name="_Toc38442854"/>
      <w:bookmarkStart w:id="1683" w:name="_Toc38443185"/>
      <w:bookmarkStart w:id="1684" w:name="_Toc38443516"/>
      <w:bookmarkStart w:id="1685" w:name="_Toc38443847"/>
      <w:bookmarkStart w:id="1686" w:name="_Toc38438314"/>
      <w:bookmarkStart w:id="1687" w:name="_Toc38438651"/>
      <w:bookmarkStart w:id="1688" w:name="_Toc38438988"/>
      <w:bookmarkStart w:id="1689" w:name="_Toc38439325"/>
      <w:bookmarkStart w:id="1690" w:name="_Toc38439662"/>
      <w:bookmarkStart w:id="1691" w:name="_Toc38439999"/>
      <w:bookmarkStart w:id="1692" w:name="_Toc38440336"/>
      <w:bookmarkStart w:id="1693" w:name="_Toc38440669"/>
      <w:bookmarkStart w:id="1694" w:name="_Toc38440868"/>
      <w:bookmarkStart w:id="1695" w:name="_Toc38441200"/>
      <w:bookmarkStart w:id="1696" w:name="_Toc38441532"/>
      <w:bookmarkStart w:id="1697" w:name="_Toc38441860"/>
      <w:bookmarkStart w:id="1698" w:name="_Toc38442192"/>
      <w:bookmarkStart w:id="1699" w:name="_Toc38442524"/>
      <w:bookmarkStart w:id="1700" w:name="_Toc38442855"/>
      <w:bookmarkStart w:id="1701" w:name="_Toc38443186"/>
      <w:bookmarkStart w:id="1702" w:name="_Toc38443517"/>
      <w:bookmarkStart w:id="1703" w:name="_Toc38443848"/>
      <w:bookmarkStart w:id="1704" w:name="_Toc38438315"/>
      <w:bookmarkStart w:id="1705" w:name="_Toc38438652"/>
      <w:bookmarkStart w:id="1706" w:name="_Toc38438989"/>
      <w:bookmarkStart w:id="1707" w:name="_Toc38439326"/>
      <w:bookmarkStart w:id="1708" w:name="_Toc38439663"/>
      <w:bookmarkStart w:id="1709" w:name="_Toc38440000"/>
      <w:bookmarkStart w:id="1710" w:name="_Toc38440337"/>
      <w:bookmarkStart w:id="1711" w:name="_Toc38440670"/>
      <w:bookmarkStart w:id="1712" w:name="_Toc38440869"/>
      <w:bookmarkStart w:id="1713" w:name="_Toc38441201"/>
      <w:bookmarkStart w:id="1714" w:name="_Toc38441533"/>
      <w:bookmarkStart w:id="1715" w:name="_Toc38441861"/>
      <w:bookmarkStart w:id="1716" w:name="_Toc38442193"/>
      <w:bookmarkStart w:id="1717" w:name="_Toc38442525"/>
      <w:bookmarkStart w:id="1718" w:name="_Toc38442856"/>
      <w:bookmarkStart w:id="1719" w:name="_Toc38443187"/>
      <w:bookmarkStart w:id="1720" w:name="_Toc38443518"/>
      <w:bookmarkStart w:id="1721" w:name="_Toc38443849"/>
      <w:bookmarkStart w:id="1722" w:name="_Toc38438316"/>
      <w:bookmarkStart w:id="1723" w:name="_Toc38438653"/>
      <w:bookmarkStart w:id="1724" w:name="_Toc38438990"/>
      <w:bookmarkStart w:id="1725" w:name="_Toc38439327"/>
      <w:bookmarkStart w:id="1726" w:name="_Toc38439664"/>
      <w:bookmarkStart w:id="1727" w:name="_Toc38440001"/>
      <w:bookmarkStart w:id="1728" w:name="_Toc38440338"/>
      <w:bookmarkStart w:id="1729" w:name="_Toc38440671"/>
      <w:bookmarkStart w:id="1730" w:name="_Toc38440870"/>
      <w:bookmarkStart w:id="1731" w:name="_Toc38441202"/>
      <w:bookmarkStart w:id="1732" w:name="_Toc38441534"/>
      <w:bookmarkStart w:id="1733" w:name="_Toc38441862"/>
      <w:bookmarkStart w:id="1734" w:name="_Toc38442194"/>
      <w:bookmarkStart w:id="1735" w:name="_Toc38442526"/>
      <w:bookmarkStart w:id="1736" w:name="_Toc38442857"/>
      <w:bookmarkStart w:id="1737" w:name="_Toc38443188"/>
      <w:bookmarkStart w:id="1738" w:name="_Toc38443519"/>
      <w:bookmarkStart w:id="1739" w:name="_Toc38443850"/>
      <w:bookmarkStart w:id="1740" w:name="_Toc38438317"/>
      <w:bookmarkStart w:id="1741" w:name="_Toc38438654"/>
      <w:bookmarkStart w:id="1742" w:name="_Toc38438991"/>
      <w:bookmarkStart w:id="1743" w:name="_Toc38439328"/>
      <w:bookmarkStart w:id="1744" w:name="_Toc38439665"/>
      <w:bookmarkStart w:id="1745" w:name="_Toc38440002"/>
      <w:bookmarkStart w:id="1746" w:name="_Toc38440339"/>
      <w:bookmarkStart w:id="1747" w:name="_Toc38440672"/>
      <w:bookmarkStart w:id="1748" w:name="_Toc38440871"/>
      <w:bookmarkStart w:id="1749" w:name="_Toc38441203"/>
      <w:bookmarkStart w:id="1750" w:name="_Toc38441535"/>
      <w:bookmarkStart w:id="1751" w:name="_Toc38441863"/>
      <w:bookmarkStart w:id="1752" w:name="_Toc38442195"/>
      <w:bookmarkStart w:id="1753" w:name="_Toc38442527"/>
      <w:bookmarkStart w:id="1754" w:name="_Toc38442858"/>
      <w:bookmarkStart w:id="1755" w:name="_Toc38443189"/>
      <w:bookmarkStart w:id="1756" w:name="_Toc38443520"/>
      <w:bookmarkStart w:id="1757" w:name="_Toc38443851"/>
      <w:bookmarkStart w:id="1758" w:name="_Toc38438318"/>
      <w:bookmarkStart w:id="1759" w:name="_Toc38438655"/>
      <w:bookmarkStart w:id="1760" w:name="_Toc38438992"/>
      <w:bookmarkStart w:id="1761" w:name="_Toc38439329"/>
      <w:bookmarkStart w:id="1762" w:name="_Toc38439666"/>
      <w:bookmarkStart w:id="1763" w:name="_Toc38440003"/>
      <w:bookmarkStart w:id="1764" w:name="_Toc38440340"/>
      <w:bookmarkStart w:id="1765" w:name="_Toc38440673"/>
      <w:bookmarkStart w:id="1766" w:name="_Toc38440872"/>
      <w:bookmarkStart w:id="1767" w:name="_Toc38441204"/>
      <w:bookmarkStart w:id="1768" w:name="_Toc38441536"/>
      <w:bookmarkStart w:id="1769" w:name="_Toc38441864"/>
      <w:bookmarkStart w:id="1770" w:name="_Toc38442196"/>
      <w:bookmarkStart w:id="1771" w:name="_Toc38442528"/>
      <w:bookmarkStart w:id="1772" w:name="_Toc38442859"/>
      <w:bookmarkStart w:id="1773" w:name="_Toc38443190"/>
      <w:bookmarkStart w:id="1774" w:name="_Toc38443521"/>
      <w:bookmarkStart w:id="1775" w:name="_Toc38443852"/>
      <w:bookmarkStart w:id="1776" w:name="_Toc38438319"/>
      <w:bookmarkStart w:id="1777" w:name="_Toc38438656"/>
      <w:bookmarkStart w:id="1778" w:name="_Toc38438993"/>
      <w:bookmarkStart w:id="1779" w:name="_Toc38439330"/>
      <w:bookmarkStart w:id="1780" w:name="_Toc38439667"/>
      <w:bookmarkStart w:id="1781" w:name="_Toc38440004"/>
      <w:bookmarkStart w:id="1782" w:name="_Toc38440341"/>
      <w:bookmarkStart w:id="1783" w:name="_Toc38440674"/>
      <w:bookmarkStart w:id="1784" w:name="_Toc38440873"/>
      <w:bookmarkStart w:id="1785" w:name="_Toc38441205"/>
      <w:bookmarkStart w:id="1786" w:name="_Toc38441537"/>
      <w:bookmarkStart w:id="1787" w:name="_Toc38441865"/>
      <w:bookmarkStart w:id="1788" w:name="_Toc38442197"/>
      <w:bookmarkStart w:id="1789" w:name="_Toc38442529"/>
      <w:bookmarkStart w:id="1790" w:name="_Toc38442860"/>
      <w:bookmarkStart w:id="1791" w:name="_Toc38443191"/>
      <w:bookmarkStart w:id="1792" w:name="_Toc38443522"/>
      <w:bookmarkStart w:id="1793" w:name="_Toc38443853"/>
      <w:bookmarkStart w:id="1794" w:name="_Toc38438320"/>
      <w:bookmarkStart w:id="1795" w:name="_Toc38438657"/>
      <w:bookmarkStart w:id="1796" w:name="_Toc38438994"/>
      <w:bookmarkStart w:id="1797" w:name="_Toc38439331"/>
      <w:bookmarkStart w:id="1798" w:name="_Toc38439668"/>
      <w:bookmarkStart w:id="1799" w:name="_Toc38440005"/>
      <w:bookmarkStart w:id="1800" w:name="_Toc38440342"/>
      <w:bookmarkStart w:id="1801" w:name="_Toc38440675"/>
      <w:bookmarkStart w:id="1802" w:name="_Toc38440874"/>
      <w:bookmarkStart w:id="1803" w:name="_Toc38441206"/>
      <w:bookmarkStart w:id="1804" w:name="_Toc38441538"/>
      <w:bookmarkStart w:id="1805" w:name="_Toc38441866"/>
      <w:bookmarkStart w:id="1806" w:name="_Toc38442198"/>
      <w:bookmarkStart w:id="1807" w:name="_Toc38442530"/>
      <w:bookmarkStart w:id="1808" w:name="_Toc38442861"/>
      <w:bookmarkStart w:id="1809" w:name="_Toc38443192"/>
      <w:bookmarkStart w:id="1810" w:name="_Toc38443523"/>
      <w:bookmarkStart w:id="1811" w:name="_Toc38443854"/>
      <w:bookmarkStart w:id="1812" w:name="_Toc38438321"/>
      <w:bookmarkStart w:id="1813" w:name="_Toc38438658"/>
      <w:bookmarkStart w:id="1814" w:name="_Toc38438995"/>
      <w:bookmarkStart w:id="1815" w:name="_Toc38439332"/>
      <w:bookmarkStart w:id="1816" w:name="_Toc38439669"/>
      <w:bookmarkStart w:id="1817" w:name="_Toc38440006"/>
      <w:bookmarkStart w:id="1818" w:name="_Toc38440343"/>
      <w:bookmarkStart w:id="1819" w:name="_Toc38440676"/>
      <w:bookmarkStart w:id="1820" w:name="_Toc38440875"/>
      <w:bookmarkStart w:id="1821" w:name="_Toc38441207"/>
      <w:bookmarkStart w:id="1822" w:name="_Toc38441539"/>
      <w:bookmarkStart w:id="1823" w:name="_Toc38441867"/>
      <w:bookmarkStart w:id="1824" w:name="_Toc38442199"/>
      <w:bookmarkStart w:id="1825" w:name="_Toc38442531"/>
      <w:bookmarkStart w:id="1826" w:name="_Toc38442862"/>
      <w:bookmarkStart w:id="1827" w:name="_Toc38443193"/>
      <w:bookmarkStart w:id="1828" w:name="_Toc38443524"/>
      <w:bookmarkStart w:id="1829" w:name="_Toc38443855"/>
      <w:bookmarkStart w:id="1830" w:name="_Toc38438322"/>
      <w:bookmarkStart w:id="1831" w:name="_Toc38438659"/>
      <w:bookmarkStart w:id="1832" w:name="_Toc38438996"/>
      <w:bookmarkStart w:id="1833" w:name="_Toc38439333"/>
      <w:bookmarkStart w:id="1834" w:name="_Toc38439670"/>
      <w:bookmarkStart w:id="1835" w:name="_Toc38440007"/>
      <w:bookmarkStart w:id="1836" w:name="_Toc38440344"/>
      <w:bookmarkStart w:id="1837" w:name="_Toc38440677"/>
      <w:bookmarkStart w:id="1838" w:name="_Toc38440876"/>
      <w:bookmarkStart w:id="1839" w:name="_Toc38441208"/>
      <w:bookmarkStart w:id="1840" w:name="_Toc38441540"/>
      <w:bookmarkStart w:id="1841" w:name="_Toc38441868"/>
      <w:bookmarkStart w:id="1842" w:name="_Toc38442200"/>
      <w:bookmarkStart w:id="1843" w:name="_Toc38442532"/>
      <w:bookmarkStart w:id="1844" w:name="_Toc38442863"/>
      <w:bookmarkStart w:id="1845" w:name="_Toc38443194"/>
      <w:bookmarkStart w:id="1846" w:name="_Toc38443525"/>
      <w:bookmarkStart w:id="1847" w:name="_Toc38443856"/>
      <w:bookmarkStart w:id="1848" w:name="_Toc38438323"/>
      <w:bookmarkStart w:id="1849" w:name="_Toc38438660"/>
      <w:bookmarkStart w:id="1850" w:name="_Toc38438997"/>
      <w:bookmarkStart w:id="1851" w:name="_Toc38439334"/>
      <w:bookmarkStart w:id="1852" w:name="_Toc38439671"/>
      <w:bookmarkStart w:id="1853" w:name="_Toc38440008"/>
      <w:bookmarkStart w:id="1854" w:name="_Toc38440345"/>
      <w:bookmarkStart w:id="1855" w:name="_Toc38440678"/>
      <w:bookmarkStart w:id="1856" w:name="_Toc38440877"/>
      <w:bookmarkStart w:id="1857" w:name="_Toc38441209"/>
      <w:bookmarkStart w:id="1858" w:name="_Toc38441541"/>
      <w:bookmarkStart w:id="1859" w:name="_Toc38441869"/>
      <w:bookmarkStart w:id="1860" w:name="_Toc38442201"/>
      <w:bookmarkStart w:id="1861" w:name="_Toc38442533"/>
      <w:bookmarkStart w:id="1862" w:name="_Toc38442864"/>
      <w:bookmarkStart w:id="1863" w:name="_Toc38443195"/>
      <w:bookmarkStart w:id="1864" w:name="_Toc38443526"/>
      <w:bookmarkStart w:id="1865" w:name="_Toc38443857"/>
      <w:bookmarkStart w:id="1866" w:name="_Toc38438324"/>
      <w:bookmarkStart w:id="1867" w:name="_Toc38438661"/>
      <w:bookmarkStart w:id="1868" w:name="_Toc38438998"/>
      <w:bookmarkStart w:id="1869" w:name="_Toc38439335"/>
      <w:bookmarkStart w:id="1870" w:name="_Toc38439672"/>
      <w:bookmarkStart w:id="1871" w:name="_Toc38440009"/>
      <w:bookmarkStart w:id="1872" w:name="_Toc38440346"/>
      <w:bookmarkStart w:id="1873" w:name="_Toc38440679"/>
      <w:bookmarkStart w:id="1874" w:name="_Toc38440878"/>
      <w:bookmarkStart w:id="1875" w:name="_Toc38441210"/>
      <w:bookmarkStart w:id="1876" w:name="_Toc38441542"/>
      <w:bookmarkStart w:id="1877" w:name="_Toc38441870"/>
      <w:bookmarkStart w:id="1878" w:name="_Toc38442202"/>
      <w:bookmarkStart w:id="1879" w:name="_Toc38442534"/>
      <w:bookmarkStart w:id="1880" w:name="_Toc38442865"/>
      <w:bookmarkStart w:id="1881" w:name="_Toc38443196"/>
      <w:bookmarkStart w:id="1882" w:name="_Toc38443527"/>
      <w:bookmarkStart w:id="1883" w:name="_Toc38443858"/>
      <w:bookmarkStart w:id="1884" w:name="_Toc38438325"/>
      <w:bookmarkStart w:id="1885" w:name="_Toc38438662"/>
      <w:bookmarkStart w:id="1886" w:name="_Toc38438999"/>
      <w:bookmarkStart w:id="1887" w:name="_Toc38439336"/>
      <w:bookmarkStart w:id="1888" w:name="_Toc38439673"/>
      <w:bookmarkStart w:id="1889" w:name="_Toc38440010"/>
      <w:bookmarkStart w:id="1890" w:name="_Toc38440347"/>
      <w:bookmarkStart w:id="1891" w:name="_Toc38440879"/>
      <w:bookmarkStart w:id="1892" w:name="_Toc38441211"/>
      <w:bookmarkStart w:id="1893" w:name="_Toc38441543"/>
      <w:bookmarkStart w:id="1894" w:name="_Toc38441871"/>
      <w:bookmarkStart w:id="1895" w:name="_Toc38442203"/>
      <w:bookmarkStart w:id="1896" w:name="_Toc38442535"/>
      <w:bookmarkStart w:id="1897" w:name="_Toc38442866"/>
      <w:bookmarkStart w:id="1898" w:name="_Toc38443197"/>
      <w:bookmarkStart w:id="1899" w:name="_Toc38443528"/>
      <w:bookmarkStart w:id="1900" w:name="_Toc38443859"/>
      <w:bookmarkStart w:id="1901" w:name="_Toc38438326"/>
      <w:bookmarkStart w:id="1902" w:name="_Toc38438663"/>
      <w:bookmarkStart w:id="1903" w:name="_Toc38439000"/>
      <w:bookmarkStart w:id="1904" w:name="_Toc38439337"/>
      <w:bookmarkStart w:id="1905" w:name="_Toc38439674"/>
      <w:bookmarkStart w:id="1906" w:name="_Toc38440011"/>
      <w:bookmarkStart w:id="1907" w:name="_Toc38440348"/>
      <w:bookmarkStart w:id="1908" w:name="_Toc38440880"/>
      <w:bookmarkStart w:id="1909" w:name="_Toc38441212"/>
      <w:bookmarkStart w:id="1910" w:name="_Toc38441544"/>
      <w:bookmarkStart w:id="1911" w:name="_Toc38441872"/>
      <w:bookmarkStart w:id="1912" w:name="_Toc38442204"/>
      <w:bookmarkStart w:id="1913" w:name="_Toc38442536"/>
      <w:bookmarkStart w:id="1914" w:name="_Toc38442867"/>
      <w:bookmarkStart w:id="1915" w:name="_Toc38443198"/>
      <w:bookmarkStart w:id="1916" w:name="_Toc38443529"/>
      <w:bookmarkStart w:id="1917" w:name="_Toc38443860"/>
      <w:bookmarkStart w:id="1918" w:name="_Toc38438327"/>
      <w:bookmarkStart w:id="1919" w:name="_Toc38438664"/>
      <w:bookmarkStart w:id="1920" w:name="_Toc38439001"/>
      <w:bookmarkStart w:id="1921" w:name="_Toc38439338"/>
      <w:bookmarkStart w:id="1922" w:name="_Toc38439675"/>
      <w:bookmarkStart w:id="1923" w:name="_Toc38440012"/>
      <w:bookmarkStart w:id="1924" w:name="_Toc38440349"/>
      <w:bookmarkStart w:id="1925" w:name="_Toc38440881"/>
      <w:bookmarkStart w:id="1926" w:name="_Toc38441213"/>
      <w:bookmarkStart w:id="1927" w:name="_Toc38441545"/>
      <w:bookmarkStart w:id="1928" w:name="_Toc38441873"/>
      <w:bookmarkStart w:id="1929" w:name="_Toc38442205"/>
      <w:bookmarkStart w:id="1930" w:name="_Toc38442537"/>
      <w:bookmarkStart w:id="1931" w:name="_Toc38442868"/>
      <w:bookmarkStart w:id="1932" w:name="_Toc38443199"/>
      <w:bookmarkStart w:id="1933" w:name="_Toc38443530"/>
      <w:bookmarkStart w:id="1934" w:name="_Toc38443861"/>
      <w:bookmarkStart w:id="1935" w:name="_Toc38438328"/>
      <w:bookmarkStart w:id="1936" w:name="_Toc38438665"/>
      <w:bookmarkStart w:id="1937" w:name="_Toc38439002"/>
      <w:bookmarkStart w:id="1938" w:name="_Toc38439339"/>
      <w:bookmarkStart w:id="1939" w:name="_Toc38439676"/>
      <w:bookmarkStart w:id="1940" w:name="_Toc38440013"/>
      <w:bookmarkStart w:id="1941" w:name="_Toc38440350"/>
      <w:bookmarkStart w:id="1942" w:name="_Toc38440882"/>
      <w:bookmarkStart w:id="1943" w:name="_Toc38441214"/>
      <w:bookmarkStart w:id="1944" w:name="_Toc38441546"/>
      <w:bookmarkStart w:id="1945" w:name="_Toc38441874"/>
      <w:bookmarkStart w:id="1946" w:name="_Toc38442206"/>
      <w:bookmarkStart w:id="1947" w:name="_Toc38442538"/>
      <w:bookmarkStart w:id="1948" w:name="_Toc38442869"/>
      <w:bookmarkStart w:id="1949" w:name="_Toc38443200"/>
      <w:bookmarkStart w:id="1950" w:name="_Toc38443531"/>
      <w:bookmarkStart w:id="1951" w:name="_Toc38443862"/>
      <w:bookmarkStart w:id="1952" w:name="_Toc38438329"/>
      <w:bookmarkStart w:id="1953" w:name="_Toc38438666"/>
      <w:bookmarkStart w:id="1954" w:name="_Toc38439003"/>
      <w:bookmarkStart w:id="1955" w:name="_Toc38439340"/>
      <w:bookmarkStart w:id="1956" w:name="_Toc38439677"/>
      <w:bookmarkStart w:id="1957" w:name="_Toc38440014"/>
      <w:bookmarkStart w:id="1958" w:name="_Toc38440351"/>
      <w:bookmarkStart w:id="1959" w:name="_Toc38440883"/>
      <w:bookmarkStart w:id="1960" w:name="_Toc38441215"/>
      <w:bookmarkStart w:id="1961" w:name="_Toc38441547"/>
      <w:bookmarkStart w:id="1962" w:name="_Toc38441875"/>
      <w:bookmarkStart w:id="1963" w:name="_Toc38442207"/>
      <w:bookmarkStart w:id="1964" w:name="_Toc38442539"/>
      <w:bookmarkStart w:id="1965" w:name="_Toc38442870"/>
      <w:bookmarkStart w:id="1966" w:name="_Toc38443201"/>
      <w:bookmarkStart w:id="1967" w:name="_Toc38443532"/>
      <w:bookmarkStart w:id="1968" w:name="_Toc38443863"/>
      <w:bookmarkStart w:id="1969" w:name="_Toc38438330"/>
      <w:bookmarkStart w:id="1970" w:name="_Toc38438667"/>
      <w:bookmarkStart w:id="1971" w:name="_Toc38439004"/>
      <w:bookmarkStart w:id="1972" w:name="_Toc38439341"/>
      <w:bookmarkStart w:id="1973" w:name="_Toc38439678"/>
      <w:bookmarkStart w:id="1974" w:name="_Toc38440015"/>
      <w:bookmarkStart w:id="1975" w:name="_Toc38440352"/>
      <w:bookmarkStart w:id="1976" w:name="_Toc38440884"/>
      <w:bookmarkStart w:id="1977" w:name="_Toc38441216"/>
      <w:bookmarkStart w:id="1978" w:name="_Toc38441548"/>
      <w:bookmarkStart w:id="1979" w:name="_Toc38441876"/>
      <w:bookmarkStart w:id="1980" w:name="_Toc38442208"/>
      <w:bookmarkStart w:id="1981" w:name="_Toc38442540"/>
      <w:bookmarkStart w:id="1982" w:name="_Toc38442871"/>
      <w:bookmarkStart w:id="1983" w:name="_Toc38443202"/>
      <w:bookmarkStart w:id="1984" w:name="_Toc38443533"/>
      <w:bookmarkStart w:id="1985" w:name="_Toc38443864"/>
      <w:bookmarkStart w:id="1986" w:name="_Toc38438331"/>
      <w:bookmarkStart w:id="1987" w:name="_Toc38438668"/>
      <w:bookmarkStart w:id="1988" w:name="_Toc38439005"/>
      <w:bookmarkStart w:id="1989" w:name="_Toc38439342"/>
      <w:bookmarkStart w:id="1990" w:name="_Toc38439679"/>
      <w:bookmarkStart w:id="1991" w:name="_Toc38440016"/>
      <w:bookmarkStart w:id="1992" w:name="_Toc38440353"/>
      <w:bookmarkStart w:id="1993" w:name="_Toc38440885"/>
      <w:bookmarkStart w:id="1994" w:name="_Toc38441217"/>
      <w:bookmarkStart w:id="1995" w:name="_Toc38441549"/>
      <w:bookmarkStart w:id="1996" w:name="_Toc38441877"/>
      <w:bookmarkStart w:id="1997" w:name="_Toc38442209"/>
      <w:bookmarkStart w:id="1998" w:name="_Toc38442541"/>
      <w:bookmarkStart w:id="1999" w:name="_Toc38442872"/>
      <w:bookmarkStart w:id="2000" w:name="_Toc38443203"/>
      <w:bookmarkStart w:id="2001" w:name="_Toc38443534"/>
      <w:bookmarkStart w:id="2002" w:name="_Toc38443865"/>
      <w:bookmarkStart w:id="2003" w:name="_Toc38438332"/>
      <w:bookmarkStart w:id="2004" w:name="_Toc38438669"/>
      <w:bookmarkStart w:id="2005" w:name="_Toc38439006"/>
      <w:bookmarkStart w:id="2006" w:name="_Toc38439343"/>
      <w:bookmarkStart w:id="2007" w:name="_Toc38439680"/>
      <w:bookmarkStart w:id="2008" w:name="_Toc38440017"/>
      <w:bookmarkStart w:id="2009" w:name="_Toc38440354"/>
      <w:bookmarkStart w:id="2010" w:name="_Toc38440886"/>
      <w:bookmarkStart w:id="2011" w:name="_Toc38441218"/>
      <w:bookmarkStart w:id="2012" w:name="_Toc38441550"/>
      <w:bookmarkStart w:id="2013" w:name="_Toc38441878"/>
      <w:bookmarkStart w:id="2014" w:name="_Toc38442210"/>
      <w:bookmarkStart w:id="2015" w:name="_Toc38442542"/>
      <w:bookmarkStart w:id="2016" w:name="_Toc38442873"/>
      <w:bookmarkStart w:id="2017" w:name="_Toc38443204"/>
      <w:bookmarkStart w:id="2018" w:name="_Toc38443535"/>
      <w:bookmarkStart w:id="2019" w:name="_Toc38443866"/>
      <w:bookmarkStart w:id="2020" w:name="_Toc38438333"/>
      <w:bookmarkStart w:id="2021" w:name="_Toc38438670"/>
      <w:bookmarkStart w:id="2022" w:name="_Toc38439007"/>
      <w:bookmarkStart w:id="2023" w:name="_Toc38439344"/>
      <w:bookmarkStart w:id="2024" w:name="_Toc38439681"/>
      <w:bookmarkStart w:id="2025" w:name="_Toc38440018"/>
      <w:bookmarkStart w:id="2026" w:name="_Toc38440355"/>
      <w:bookmarkStart w:id="2027" w:name="_Toc38440887"/>
      <w:bookmarkStart w:id="2028" w:name="_Toc38441219"/>
      <w:bookmarkStart w:id="2029" w:name="_Toc38441551"/>
      <w:bookmarkStart w:id="2030" w:name="_Toc38441879"/>
      <w:bookmarkStart w:id="2031" w:name="_Toc38442211"/>
      <w:bookmarkStart w:id="2032" w:name="_Toc38442543"/>
      <w:bookmarkStart w:id="2033" w:name="_Toc38442874"/>
      <w:bookmarkStart w:id="2034" w:name="_Toc38443205"/>
      <w:bookmarkStart w:id="2035" w:name="_Toc38443536"/>
      <w:bookmarkStart w:id="2036" w:name="_Toc38443867"/>
      <w:bookmarkStart w:id="2037" w:name="_Toc38438334"/>
      <w:bookmarkStart w:id="2038" w:name="_Toc38438671"/>
      <w:bookmarkStart w:id="2039" w:name="_Toc38439008"/>
      <w:bookmarkStart w:id="2040" w:name="_Toc38439345"/>
      <w:bookmarkStart w:id="2041" w:name="_Toc38439682"/>
      <w:bookmarkStart w:id="2042" w:name="_Toc38440019"/>
      <w:bookmarkStart w:id="2043" w:name="_Toc38440356"/>
      <w:bookmarkStart w:id="2044" w:name="_Toc38440888"/>
      <w:bookmarkStart w:id="2045" w:name="_Toc38441220"/>
      <w:bookmarkStart w:id="2046" w:name="_Toc38441552"/>
      <w:bookmarkStart w:id="2047" w:name="_Toc38441880"/>
      <w:bookmarkStart w:id="2048" w:name="_Toc38442212"/>
      <w:bookmarkStart w:id="2049" w:name="_Toc38442544"/>
      <w:bookmarkStart w:id="2050" w:name="_Toc38442875"/>
      <w:bookmarkStart w:id="2051" w:name="_Toc38443206"/>
      <w:bookmarkStart w:id="2052" w:name="_Toc38443537"/>
      <w:bookmarkStart w:id="2053" w:name="_Toc38443868"/>
      <w:bookmarkStart w:id="2054" w:name="_Toc38438335"/>
      <w:bookmarkStart w:id="2055" w:name="_Toc38438672"/>
      <w:bookmarkStart w:id="2056" w:name="_Toc38439009"/>
      <w:bookmarkStart w:id="2057" w:name="_Toc38439346"/>
      <w:bookmarkStart w:id="2058" w:name="_Toc38439683"/>
      <w:bookmarkStart w:id="2059" w:name="_Toc38440020"/>
      <w:bookmarkStart w:id="2060" w:name="_Toc38440357"/>
      <w:bookmarkStart w:id="2061" w:name="_Toc38440889"/>
      <w:bookmarkStart w:id="2062" w:name="_Toc38441221"/>
      <w:bookmarkStart w:id="2063" w:name="_Toc38441553"/>
      <w:bookmarkStart w:id="2064" w:name="_Toc38441881"/>
      <w:bookmarkStart w:id="2065" w:name="_Toc38442213"/>
      <w:bookmarkStart w:id="2066" w:name="_Toc38442545"/>
      <w:bookmarkStart w:id="2067" w:name="_Toc38442876"/>
      <w:bookmarkStart w:id="2068" w:name="_Toc38443207"/>
      <w:bookmarkStart w:id="2069" w:name="_Toc38443538"/>
      <w:bookmarkStart w:id="2070" w:name="_Toc38443869"/>
      <w:bookmarkStart w:id="2071" w:name="_Toc38438336"/>
      <w:bookmarkStart w:id="2072" w:name="_Toc38438673"/>
      <w:bookmarkStart w:id="2073" w:name="_Toc38439010"/>
      <w:bookmarkStart w:id="2074" w:name="_Toc38439347"/>
      <w:bookmarkStart w:id="2075" w:name="_Toc38439684"/>
      <w:bookmarkStart w:id="2076" w:name="_Toc38440021"/>
      <w:bookmarkStart w:id="2077" w:name="_Toc38440358"/>
      <w:bookmarkStart w:id="2078" w:name="_Toc38440890"/>
      <w:bookmarkStart w:id="2079" w:name="_Toc38441222"/>
      <w:bookmarkStart w:id="2080" w:name="_Toc38441554"/>
      <w:bookmarkStart w:id="2081" w:name="_Toc38441882"/>
      <w:bookmarkStart w:id="2082" w:name="_Toc38442214"/>
      <w:bookmarkStart w:id="2083" w:name="_Toc38442546"/>
      <w:bookmarkStart w:id="2084" w:name="_Toc38442877"/>
      <w:bookmarkStart w:id="2085" w:name="_Toc38443208"/>
      <w:bookmarkStart w:id="2086" w:name="_Toc38443539"/>
      <w:bookmarkStart w:id="2087" w:name="_Toc38443870"/>
      <w:bookmarkStart w:id="2088" w:name="_Toc38438337"/>
      <w:bookmarkStart w:id="2089" w:name="_Toc38438674"/>
      <w:bookmarkStart w:id="2090" w:name="_Toc38439011"/>
      <w:bookmarkStart w:id="2091" w:name="_Toc38439348"/>
      <w:bookmarkStart w:id="2092" w:name="_Toc38439685"/>
      <w:bookmarkStart w:id="2093" w:name="_Toc38440022"/>
      <w:bookmarkStart w:id="2094" w:name="_Toc38440359"/>
      <w:bookmarkStart w:id="2095" w:name="_Toc38440891"/>
      <w:bookmarkStart w:id="2096" w:name="_Toc38441223"/>
      <w:bookmarkStart w:id="2097" w:name="_Toc38441555"/>
      <w:bookmarkStart w:id="2098" w:name="_Toc38441883"/>
      <w:bookmarkStart w:id="2099" w:name="_Toc38442215"/>
      <w:bookmarkStart w:id="2100" w:name="_Toc38442547"/>
      <w:bookmarkStart w:id="2101" w:name="_Toc38442878"/>
      <w:bookmarkStart w:id="2102" w:name="_Toc38443209"/>
      <w:bookmarkStart w:id="2103" w:name="_Toc38443540"/>
      <w:bookmarkStart w:id="2104" w:name="_Toc38443871"/>
      <w:bookmarkStart w:id="2105" w:name="_Toc38438338"/>
      <w:bookmarkStart w:id="2106" w:name="_Toc38438675"/>
      <w:bookmarkStart w:id="2107" w:name="_Toc38439012"/>
      <w:bookmarkStart w:id="2108" w:name="_Toc38439349"/>
      <w:bookmarkStart w:id="2109" w:name="_Toc38439686"/>
      <w:bookmarkStart w:id="2110" w:name="_Toc38440023"/>
      <w:bookmarkStart w:id="2111" w:name="_Toc38440360"/>
      <w:bookmarkStart w:id="2112" w:name="_Toc38440892"/>
      <w:bookmarkStart w:id="2113" w:name="_Toc38441224"/>
      <w:bookmarkStart w:id="2114" w:name="_Toc38441556"/>
      <w:bookmarkStart w:id="2115" w:name="_Toc38441884"/>
      <w:bookmarkStart w:id="2116" w:name="_Toc38442216"/>
      <w:bookmarkStart w:id="2117" w:name="_Toc38442548"/>
      <w:bookmarkStart w:id="2118" w:name="_Toc38442879"/>
      <w:bookmarkStart w:id="2119" w:name="_Toc38443210"/>
      <w:bookmarkStart w:id="2120" w:name="_Toc38443541"/>
      <w:bookmarkStart w:id="2121" w:name="_Toc38443872"/>
      <w:bookmarkStart w:id="2122" w:name="_Toc38438339"/>
      <w:bookmarkStart w:id="2123" w:name="_Toc38438676"/>
      <w:bookmarkStart w:id="2124" w:name="_Toc38439013"/>
      <w:bookmarkStart w:id="2125" w:name="_Toc38439350"/>
      <w:bookmarkStart w:id="2126" w:name="_Toc38439687"/>
      <w:bookmarkStart w:id="2127" w:name="_Toc38440024"/>
      <w:bookmarkStart w:id="2128" w:name="_Toc38440361"/>
      <w:bookmarkStart w:id="2129" w:name="_Toc38440893"/>
      <w:bookmarkStart w:id="2130" w:name="_Toc38441225"/>
      <w:bookmarkStart w:id="2131" w:name="_Toc38441557"/>
      <w:bookmarkStart w:id="2132" w:name="_Toc38441885"/>
      <w:bookmarkStart w:id="2133" w:name="_Toc38442217"/>
      <w:bookmarkStart w:id="2134" w:name="_Toc38442549"/>
      <w:bookmarkStart w:id="2135" w:name="_Toc38442880"/>
      <w:bookmarkStart w:id="2136" w:name="_Toc38443211"/>
      <w:bookmarkStart w:id="2137" w:name="_Toc38443542"/>
      <w:bookmarkStart w:id="2138" w:name="_Toc38443873"/>
      <w:bookmarkStart w:id="2139" w:name="_Toc38438340"/>
      <w:bookmarkStart w:id="2140" w:name="_Toc38438677"/>
      <w:bookmarkStart w:id="2141" w:name="_Toc38439014"/>
      <w:bookmarkStart w:id="2142" w:name="_Toc38439351"/>
      <w:bookmarkStart w:id="2143" w:name="_Toc38439688"/>
      <w:bookmarkStart w:id="2144" w:name="_Toc38440025"/>
      <w:bookmarkStart w:id="2145" w:name="_Toc38440362"/>
      <w:bookmarkStart w:id="2146" w:name="_Toc38440894"/>
      <w:bookmarkStart w:id="2147" w:name="_Toc38441226"/>
      <w:bookmarkStart w:id="2148" w:name="_Toc38441558"/>
      <w:bookmarkStart w:id="2149" w:name="_Toc38441886"/>
      <w:bookmarkStart w:id="2150" w:name="_Toc38442218"/>
      <w:bookmarkStart w:id="2151" w:name="_Toc38442550"/>
      <w:bookmarkStart w:id="2152" w:name="_Toc38442881"/>
      <w:bookmarkStart w:id="2153" w:name="_Toc38443212"/>
      <w:bookmarkStart w:id="2154" w:name="_Toc38443543"/>
      <w:bookmarkStart w:id="2155" w:name="_Toc38443874"/>
      <w:bookmarkStart w:id="2156" w:name="_Toc38438341"/>
      <w:bookmarkStart w:id="2157" w:name="_Toc38438678"/>
      <w:bookmarkStart w:id="2158" w:name="_Toc38439015"/>
      <w:bookmarkStart w:id="2159" w:name="_Toc38439352"/>
      <w:bookmarkStart w:id="2160" w:name="_Toc38439689"/>
      <w:bookmarkStart w:id="2161" w:name="_Toc38440026"/>
      <w:bookmarkStart w:id="2162" w:name="_Toc38440363"/>
      <w:bookmarkStart w:id="2163" w:name="_Toc38440895"/>
      <w:bookmarkStart w:id="2164" w:name="_Toc38441227"/>
      <w:bookmarkStart w:id="2165" w:name="_Toc38441559"/>
      <w:bookmarkStart w:id="2166" w:name="_Toc38441887"/>
      <w:bookmarkStart w:id="2167" w:name="_Toc38442219"/>
      <w:bookmarkStart w:id="2168" w:name="_Toc38442551"/>
      <w:bookmarkStart w:id="2169" w:name="_Toc38442882"/>
      <w:bookmarkStart w:id="2170" w:name="_Toc38443213"/>
      <w:bookmarkStart w:id="2171" w:name="_Toc38443544"/>
      <w:bookmarkStart w:id="2172" w:name="_Toc38443875"/>
      <w:bookmarkStart w:id="2173" w:name="_Toc38438342"/>
      <w:bookmarkStart w:id="2174" w:name="_Toc38438679"/>
      <w:bookmarkStart w:id="2175" w:name="_Toc38439016"/>
      <w:bookmarkStart w:id="2176" w:name="_Toc38439353"/>
      <w:bookmarkStart w:id="2177" w:name="_Toc38439690"/>
      <w:bookmarkStart w:id="2178" w:name="_Toc38440027"/>
      <w:bookmarkStart w:id="2179" w:name="_Toc38440364"/>
      <w:bookmarkStart w:id="2180" w:name="_Toc38440896"/>
      <w:bookmarkStart w:id="2181" w:name="_Toc38441228"/>
      <w:bookmarkStart w:id="2182" w:name="_Toc38441560"/>
      <w:bookmarkStart w:id="2183" w:name="_Toc38441888"/>
      <w:bookmarkStart w:id="2184" w:name="_Toc38442220"/>
      <w:bookmarkStart w:id="2185" w:name="_Toc38442552"/>
      <w:bookmarkStart w:id="2186" w:name="_Toc38442883"/>
      <w:bookmarkStart w:id="2187" w:name="_Toc38443214"/>
      <w:bookmarkStart w:id="2188" w:name="_Toc38443545"/>
      <w:bookmarkStart w:id="2189" w:name="_Toc38443876"/>
      <w:bookmarkStart w:id="2190" w:name="_Toc38438343"/>
      <w:bookmarkStart w:id="2191" w:name="_Toc38438680"/>
      <w:bookmarkStart w:id="2192" w:name="_Toc38439017"/>
      <w:bookmarkStart w:id="2193" w:name="_Toc38439354"/>
      <w:bookmarkStart w:id="2194" w:name="_Toc38439691"/>
      <w:bookmarkStart w:id="2195" w:name="_Toc38440028"/>
      <w:bookmarkStart w:id="2196" w:name="_Toc38440365"/>
      <w:bookmarkStart w:id="2197" w:name="_Toc38440897"/>
      <w:bookmarkStart w:id="2198" w:name="_Toc38441229"/>
      <w:bookmarkStart w:id="2199" w:name="_Toc38441561"/>
      <w:bookmarkStart w:id="2200" w:name="_Toc38441889"/>
      <w:bookmarkStart w:id="2201" w:name="_Toc38442221"/>
      <w:bookmarkStart w:id="2202" w:name="_Toc38442553"/>
      <w:bookmarkStart w:id="2203" w:name="_Toc38442884"/>
      <w:bookmarkStart w:id="2204" w:name="_Toc38443215"/>
      <w:bookmarkStart w:id="2205" w:name="_Toc38443546"/>
      <w:bookmarkStart w:id="2206" w:name="_Toc38443877"/>
      <w:bookmarkStart w:id="2207" w:name="_Toc8192265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r w:rsidRPr="00286323">
        <w:rPr>
          <w:rFonts w:asciiTheme="minorEastAsia" w:eastAsiaTheme="minorEastAsia" w:hAnsiTheme="minorEastAsia" w:cs="Arial" w:hint="eastAsia"/>
          <w:bCs/>
          <w:color w:val="000000" w:themeColor="text1"/>
        </w:rPr>
        <w:lastRenderedPageBreak/>
        <w:t>其他应披露事项</w:t>
      </w:r>
      <w:bookmarkEnd w:id="2207"/>
    </w:p>
    <w:tbl>
      <w:tblPr>
        <w:tblpPr w:leftFromText="180" w:rightFromText="180" w:vertAnchor="text" w:horzAnchor="margin" w:tblpY="316"/>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1843"/>
      </w:tblGrid>
      <w:tr w:rsidR="00286323" w:rsidRPr="00286323" w:rsidTr="006B7EA8">
        <w:trPr>
          <w:trHeight w:val="765"/>
        </w:trPr>
        <w:tc>
          <w:tcPr>
            <w:tcW w:w="6487" w:type="dxa"/>
            <w:tcBorders>
              <w:top w:val="single" w:sz="4" w:space="0" w:color="auto"/>
              <w:left w:val="single" w:sz="4" w:space="0" w:color="auto"/>
              <w:bottom w:val="single" w:sz="4" w:space="0" w:color="auto"/>
              <w:right w:val="single" w:sz="4" w:space="0" w:color="auto"/>
            </w:tcBorders>
            <w:vAlign w:val="center"/>
            <w:hideMark/>
          </w:tcPr>
          <w:p w:rsidR="006B7EA8" w:rsidRPr="00286323" w:rsidRDefault="008F1DC3" w:rsidP="005B11A9">
            <w:pPr>
              <w:widowControl w:val="0"/>
              <w:spacing w:line="360" w:lineRule="auto"/>
              <w:ind w:firstLineChars="200" w:firstLine="420"/>
              <w:jc w:val="center"/>
              <w:rPr>
                <w:rFonts w:asciiTheme="minorEastAsia" w:eastAsiaTheme="minorEastAsia" w:hAnsiTheme="minorEastAsia" w:cs="Times New Roman"/>
                <w:color w:val="000000" w:themeColor="text1"/>
                <w:kern w:val="2"/>
              </w:rPr>
            </w:pPr>
            <w:r w:rsidRPr="00286323">
              <w:rPr>
                <w:rFonts w:asciiTheme="minorEastAsia" w:eastAsiaTheme="minorEastAsia" w:hAnsiTheme="minorEastAsia" w:hint="eastAsia"/>
                <w:color w:val="000000" w:themeColor="text1"/>
              </w:rPr>
              <w:t>公告事项</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7EA8" w:rsidRPr="00286323" w:rsidRDefault="008F1DC3" w:rsidP="006B7EA8">
            <w:pPr>
              <w:widowControl w:val="0"/>
              <w:spacing w:line="360" w:lineRule="auto"/>
              <w:ind w:firstLineChars="200" w:firstLine="420"/>
              <w:rPr>
                <w:rFonts w:asciiTheme="minorEastAsia" w:eastAsiaTheme="minorEastAsia" w:hAnsiTheme="minorEastAsia" w:cs="Times New Roman"/>
                <w:color w:val="000000" w:themeColor="text1"/>
                <w:kern w:val="2"/>
              </w:rPr>
            </w:pPr>
            <w:r w:rsidRPr="00286323">
              <w:rPr>
                <w:rFonts w:asciiTheme="minorEastAsia" w:eastAsiaTheme="minorEastAsia" w:hAnsiTheme="minorEastAsia" w:hint="eastAsia"/>
                <w:color w:val="000000" w:themeColor="text1"/>
              </w:rPr>
              <w:t>披露日期</w:t>
            </w:r>
          </w:p>
        </w:tc>
      </w:tr>
      <w:tr w:rsidR="00286323" w:rsidRPr="00286323">
        <w:tc>
          <w:tcPr>
            <w:tcW w:w="6487" w:type="dxa"/>
          </w:tcPr>
          <w:p w:rsidR="00AD20B7" w:rsidRPr="00286323" w:rsidRDefault="00750911">
            <w:pPr>
              <w:jc w:val="lef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易方达基金管理有限公司旗下部分开放式基金参加中国国际期货费率优惠活动的公告</w:t>
            </w:r>
          </w:p>
        </w:tc>
        <w:tc>
          <w:tcPr>
            <w:tcW w:w="1843" w:type="dxa"/>
          </w:tcPr>
          <w:p w:rsidR="00AD20B7" w:rsidRPr="00286323" w:rsidRDefault="00750911">
            <w:pP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2020-04-17</w:t>
            </w:r>
          </w:p>
        </w:tc>
      </w:tr>
      <w:tr w:rsidR="00286323" w:rsidRPr="00286323">
        <w:tc>
          <w:tcPr>
            <w:tcW w:w="6487" w:type="dxa"/>
          </w:tcPr>
          <w:p w:rsidR="00AD20B7" w:rsidRPr="00286323" w:rsidRDefault="00750911">
            <w:pPr>
              <w:jc w:val="lef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易方达基金管理有限公司旗下部分开放式基金参加诺亚正行费率优惠活动的公告</w:t>
            </w:r>
          </w:p>
        </w:tc>
        <w:tc>
          <w:tcPr>
            <w:tcW w:w="1843" w:type="dxa"/>
          </w:tcPr>
          <w:p w:rsidR="00AD20B7" w:rsidRPr="00286323" w:rsidRDefault="00750911">
            <w:pP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2020-04-17</w:t>
            </w:r>
          </w:p>
        </w:tc>
      </w:tr>
      <w:tr w:rsidR="00286323" w:rsidRPr="00286323">
        <w:tc>
          <w:tcPr>
            <w:tcW w:w="6487" w:type="dxa"/>
          </w:tcPr>
          <w:p w:rsidR="00AD20B7" w:rsidRPr="00286323" w:rsidRDefault="00750911">
            <w:pPr>
              <w:jc w:val="lef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易方达基金管理有限公司旗下基金2020年第1季度报告提示性公告</w:t>
            </w:r>
          </w:p>
        </w:tc>
        <w:tc>
          <w:tcPr>
            <w:tcW w:w="1843" w:type="dxa"/>
          </w:tcPr>
          <w:p w:rsidR="00AD20B7" w:rsidRPr="00286323" w:rsidRDefault="00750911">
            <w:pP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2020-04-21</w:t>
            </w:r>
          </w:p>
        </w:tc>
      </w:tr>
      <w:tr w:rsidR="00286323" w:rsidRPr="00286323">
        <w:tc>
          <w:tcPr>
            <w:tcW w:w="6487" w:type="dxa"/>
          </w:tcPr>
          <w:p w:rsidR="00AD20B7" w:rsidRPr="00286323" w:rsidRDefault="00750911">
            <w:pPr>
              <w:jc w:val="lef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易方达基金管理有限公司旗下部分开放式基金参加国联证券费率优惠活动的公告</w:t>
            </w:r>
          </w:p>
        </w:tc>
        <w:tc>
          <w:tcPr>
            <w:tcW w:w="1843" w:type="dxa"/>
          </w:tcPr>
          <w:p w:rsidR="00AD20B7" w:rsidRPr="00286323" w:rsidRDefault="00750911">
            <w:pP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2020-04-22</w:t>
            </w:r>
          </w:p>
        </w:tc>
      </w:tr>
      <w:tr w:rsidR="00286323" w:rsidRPr="00286323">
        <w:tc>
          <w:tcPr>
            <w:tcW w:w="6487" w:type="dxa"/>
          </w:tcPr>
          <w:p w:rsidR="00AD20B7" w:rsidRPr="00286323" w:rsidRDefault="00750911">
            <w:pPr>
              <w:jc w:val="lef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易方达基金管理有限公司旗下部分开放式基金增加金海九州为销售机构、参加金海九州费率优惠活动的公告</w:t>
            </w:r>
          </w:p>
        </w:tc>
        <w:tc>
          <w:tcPr>
            <w:tcW w:w="1843" w:type="dxa"/>
          </w:tcPr>
          <w:p w:rsidR="00AD20B7" w:rsidRPr="00286323" w:rsidRDefault="00750911">
            <w:pP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2020-04-28</w:t>
            </w:r>
          </w:p>
        </w:tc>
      </w:tr>
      <w:tr w:rsidR="00286323" w:rsidRPr="00286323">
        <w:tc>
          <w:tcPr>
            <w:tcW w:w="6487" w:type="dxa"/>
          </w:tcPr>
          <w:p w:rsidR="00AD20B7" w:rsidRPr="00286323" w:rsidRDefault="00750911">
            <w:pPr>
              <w:jc w:val="lef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易方达基金管理有限公司关于聘任基金经理助理的公告</w:t>
            </w:r>
          </w:p>
        </w:tc>
        <w:tc>
          <w:tcPr>
            <w:tcW w:w="1843" w:type="dxa"/>
          </w:tcPr>
          <w:p w:rsidR="00AD20B7" w:rsidRPr="00286323" w:rsidRDefault="00750911">
            <w:pP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2020-04-30</w:t>
            </w:r>
          </w:p>
        </w:tc>
      </w:tr>
      <w:tr w:rsidR="00286323" w:rsidRPr="00286323">
        <w:tc>
          <w:tcPr>
            <w:tcW w:w="6487" w:type="dxa"/>
          </w:tcPr>
          <w:p w:rsidR="00AD20B7" w:rsidRPr="00286323" w:rsidRDefault="00750911">
            <w:pPr>
              <w:jc w:val="lef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易方达基金管理有限公司旗下部分开放式基金参加中金公司申购费率优惠活动的公告</w:t>
            </w:r>
          </w:p>
        </w:tc>
        <w:tc>
          <w:tcPr>
            <w:tcW w:w="1843" w:type="dxa"/>
          </w:tcPr>
          <w:p w:rsidR="00AD20B7" w:rsidRPr="00286323" w:rsidRDefault="00750911">
            <w:pP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2020-05-14</w:t>
            </w:r>
          </w:p>
        </w:tc>
      </w:tr>
      <w:tr w:rsidR="00286323" w:rsidRPr="00286323">
        <w:tc>
          <w:tcPr>
            <w:tcW w:w="6487" w:type="dxa"/>
          </w:tcPr>
          <w:p w:rsidR="00AD20B7" w:rsidRPr="00286323" w:rsidRDefault="00750911">
            <w:pPr>
              <w:jc w:val="lef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易方达基金管理有限公司旗下部分开放式基金参加万联证券费率优惠活动的公告</w:t>
            </w:r>
          </w:p>
        </w:tc>
        <w:tc>
          <w:tcPr>
            <w:tcW w:w="1843" w:type="dxa"/>
          </w:tcPr>
          <w:p w:rsidR="00AD20B7" w:rsidRPr="00286323" w:rsidRDefault="00750911">
            <w:pP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2020-05-18</w:t>
            </w:r>
          </w:p>
        </w:tc>
      </w:tr>
      <w:tr w:rsidR="00286323" w:rsidRPr="00286323">
        <w:tc>
          <w:tcPr>
            <w:tcW w:w="6487" w:type="dxa"/>
          </w:tcPr>
          <w:p w:rsidR="00AD20B7" w:rsidRPr="00286323" w:rsidRDefault="00750911">
            <w:pPr>
              <w:jc w:val="lef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易方达基金管理有限公司旗下部分开放式基金参加华夏财富费率优惠活动的公告</w:t>
            </w:r>
          </w:p>
        </w:tc>
        <w:tc>
          <w:tcPr>
            <w:tcW w:w="1843" w:type="dxa"/>
          </w:tcPr>
          <w:p w:rsidR="00AD20B7" w:rsidRPr="00286323" w:rsidRDefault="00750911">
            <w:pP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2020-05-23</w:t>
            </w:r>
          </w:p>
        </w:tc>
      </w:tr>
      <w:tr w:rsidR="00286323" w:rsidRPr="00286323">
        <w:tc>
          <w:tcPr>
            <w:tcW w:w="6487" w:type="dxa"/>
          </w:tcPr>
          <w:p w:rsidR="00AD20B7" w:rsidRPr="00286323" w:rsidRDefault="00750911">
            <w:pPr>
              <w:jc w:val="lef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易方达基金管理有限公司关于旗下基金在包商银行股份有限公司相关业务安排的提示性公告</w:t>
            </w:r>
          </w:p>
        </w:tc>
        <w:tc>
          <w:tcPr>
            <w:tcW w:w="1843" w:type="dxa"/>
          </w:tcPr>
          <w:p w:rsidR="00AD20B7" w:rsidRPr="00286323" w:rsidRDefault="00750911">
            <w:pP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2020-05-29</w:t>
            </w:r>
          </w:p>
        </w:tc>
      </w:tr>
      <w:tr w:rsidR="00286323" w:rsidRPr="00286323">
        <w:tc>
          <w:tcPr>
            <w:tcW w:w="6487" w:type="dxa"/>
          </w:tcPr>
          <w:p w:rsidR="00AD20B7" w:rsidRPr="00286323" w:rsidRDefault="00750911">
            <w:pPr>
              <w:jc w:val="lef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易方达基金管理有限公司关于暂停上海朝阳永续基金销售有限公司办理旗下基金相关销售业务的公告</w:t>
            </w:r>
          </w:p>
        </w:tc>
        <w:tc>
          <w:tcPr>
            <w:tcW w:w="1843" w:type="dxa"/>
          </w:tcPr>
          <w:p w:rsidR="00AD20B7" w:rsidRPr="00286323" w:rsidRDefault="00750911">
            <w:pP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2020-06-03</w:t>
            </w:r>
          </w:p>
        </w:tc>
      </w:tr>
      <w:tr w:rsidR="00286323" w:rsidRPr="00286323">
        <w:tc>
          <w:tcPr>
            <w:tcW w:w="6487" w:type="dxa"/>
          </w:tcPr>
          <w:p w:rsidR="00AD20B7" w:rsidRPr="00286323" w:rsidRDefault="00750911">
            <w:pPr>
              <w:jc w:val="lef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易方达基金管理有限公司关于调整旗下部分开放式基金在招商银行最低定期定额投资金额限制的公告</w:t>
            </w:r>
          </w:p>
        </w:tc>
        <w:tc>
          <w:tcPr>
            <w:tcW w:w="1843" w:type="dxa"/>
          </w:tcPr>
          <w:p w:rsidR="00AD20B7" w:rsidRPr="00286323" w:rsidRDefault="00750911">
            <w:pP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2020-06-04</w:t>
            </w:r>
          </w:p>
        </w:tc>
      </w:tr>
      <w:tr w:rsidR="00286323" w:rsidRPr="00286323">
        <w:tc>
          <w:tcPr>
            <w:tcW w:w="6487" w:type="dxa"/>
          </w:tcPr>
          <w:p w:rsidR="00AD20B7" w:rsidRPr="00286323" w:rsidRDefault="00750911">
            <w:pPr>
              <w:jc w:val="lef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易方达基金管理有限公司高级管理人员变更公告</w:t>
            </w:r>
          </w:p>
        </w:tc>
        <w:tc>
          <w:tcPr>
            <w:tcW w:w="1843" w:type="dxa"/>
          </w:tcPr>
          <w:p w:rsidR="00AD20B7" w:rsidRPr="00286323" w:rsidRDefault="00750911">
            <w:pP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2020-06-22</w:t>
            </w:r>
          </w:p>
        </w:tc>
      </w:tr>
      <w:tr w:rsidR="00286323" w:rsidRPr="00286323">
        <w:tc>
          <w:tcPr>
            <w:tcW w:w="6487" w:type="dxa"/>
          </w:tcPr>
          <w:p w:rsidR="00AD20B7" w:rsidRPr="00286323" w:rsidRDefault="00750911">
            <w:pPr>
              <w:jc w:val="lef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易方达基金管理有限公司旗下基金2020年第2季度报告提示性公告</w:t>
            </w:r>
          </w:p>
        </w:tc>
        <w:tc>
          <w:tcPr>
            <w:tcW w:w="1843" w:type="dxa"/>
          </w:tcPr>
          <w:p w:rsidR="00AD20B7" w:rsidRPr="00286323" w:rsidRDefault="00750911">
            <w:pP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2020-07-21</w:t>
            </w:r>
          </w:p>
        </w:tc>
      </w:tr>
      <w:tr w:rsidR="00286323" w:rsidRPr="00286323">
        <w:tc>
          <w:tcPr>
            <w:tcW w:w="6487" w:type="dxa"/>
          </w:tcPr>
          <w:p w:rsidR="00AD20B7" w:rsidRPr="00286323" w:rsidRDefault="00750911">
            <w:pPr>
              <w:jc w:val="lef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易方达基金管理有限公司旗下部分开放式基金增加营口银行为销售机构的公告</w:t>
            </w:r>
          </w:p>
        </w:tc>
        <w:tc>
          <w:tcPr>
            <w:tcW w:w="1843" w:type="dxa"/>
          </w:tcPr>
          <w:p w:rsidR="00AD20B7" w:rsidRPr="00286323" w:rsidRDefault="00750911">
            <w:pP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2020-07-23</w:t>
            </w:r>
          </w:p>
        </w:tc>
      </w:tr>
      <w:tr w:rsidR="00286323" w:rsidRPr="00286323">
        <w:tc>
          <w:tcPr>
            <w:tcW w:w="6487" w:type="dxa"/>
          </w:tcPr>
          <w:p w:rsidR="00AD20B7" w:rsidRPr="00286323" w:rsidRDefault="00750911">
            <w:pPr>
              <w:jc w:val="lef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易方达基金管理有限公司高级管理人员变更公告</w:t>
            </w:r>
          </w:p>
        </w:tc>
        <w:tc>
          <w:tcPr>
            <w:tcW w:w="1843" w:type="dxa"/>
          </w:tcPr>
          <w:p w:rsidR="00AD20B7" w:rsidRPr="00286323" w:rsidRDefault="00750911">
            <w:pP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2020-07-24</w:t>
            </w:r>
          </w:p>
        </w:tc>
      </w:tr>
      <w:tr w:rsidR="00286323" w:rsidRPr="00286323">
        <w:tc>
          <w:tcPr>
            <w:tcW w:w="6487" w:type="dxa"/>
          </w:tcPr>
          <w:p w:rsidR="00AD20B7" w:rsidRPr="00286323" w:rsidRDefault="00750911">
            <w:pPr>
              <w:jc w:val="lef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易方达基金管理有限公司旗下部分开放式基金增加喜鹊基金为销售机构、参加喜鹊基金费率优惠活动的公告</w:t>
            </w:r>
          </w:p>
        </w:tc>
        <w:tc>
          <w:tcPr>
            <w:tcW w:w="1843" w:type="dxa"/>
          </w:tcPr>
          <w:p w:rsidR="00AD20B7" w:rsidRPr="00286323" w:rsidRDefault="00750911">
            <w:pP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2020-08-21</w:t>
            </w:r>
          </w:p>
        </w:tc>
      </w:tr>
      <w:tr w:rsidR="00286323" w:rsidRPr="00286323">
        <w:tc>
          <w:tcPr>
            <w:tcW w:w="6487" w:type="dxa"/>
          </w:tcPr>
          <w:p w:rsidR="00AD20B7" w:rsidRPr="00286323" w:rsidRDefault="00750911">
            <w:pPr>
              <w:jc w:val="lef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易方达基金管理有限公司旗下部分开放式基金增加中国人寿为销售机构、参加中国人寿费率优惠活动的公告</w:t>
            </w:r>
          </w:p>
        </w:tc>
        <w:tc>
          <w:tcPr>
            <w:tcW w:w="1843" w:type="dxa"/>
          </w:tcPr>
          <w:p w:rsidR="00AD20B7" w:rsidRPr="00286323" w:rsidRDefault="00750911">
            <w:pP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2020-08-24</w:t>
            </w:r>
          </w:p>
        </w:tc>
      </w:tr>
      <w:tr w:rsidR="00286323" w:rsidRPr="00286323">
        <w:tc>
          <w:tcPr>
            <w:tcW w:w="6487" w:type="dxa"/>
          </w:tcPr>
          <w:p w:rsidR="00AD20B7" w:rsidRPr="00286323" w:rsidRDefault="00750911">
            <w:pPr>
              <w:jc w:val="lef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易方达基金管理有限公司旗下基金2020年中期报告提示性公告</w:t>
            </w:r>
          </w:p>
        </w:tc>
        <w:tc>
          <w:tcPr>
            <w:tcW w:w="1843" w:type="dxa"/>
          </w:tcPr>
          <w:p w:rsidR="00AD20B7" w:rsidRPr="00286323" w:rsidRDefault="00750911">
            <w:pP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2020-08-28</w:t>
            </w:r>
          </w:p>
        </w:tc>
      </w:tr>
      <w:tr w:rsidR="00286323" w:rsidRPr="00286323">
        <w:tc>
          <w:tcPr>
            <w:tcW w:w="6487" w:type="dxa"/>
          </w:tcPr>
          <w:p w:rsidR="00AD20B7" w:rsidRPr="00286323" w:rsidRDefault="00750911">
            <w:pPr>
              <w:jc w:val="lef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易方达基金管理有限公司旗下部分开放式基金参加中金财富申购费率优惠活动的公告</w:t>
            </w:r>
          </w:p>
        </w:tc>
        <w:tc>
          <w:tcPr>
            <w:tcW w:w="1843" w:type="dxa"/>
          </w:tcPr>
          <w:p w:rsidR="00AD20B7" w:rsidRPr="00286323" w:rsidRDefault="00750911">
            <w:pP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2020-09-08</w:t>
            </w:r>
          </w:p>
        </w:tc>
      </w:tr>
      <w:tr w:rsidR="00286323" w:rsidRPr="00286323">
        <w:tc>
          <w:tcPr>
            <w:tcW w:w="6487" w:type="dxa"/>
          </w:tcPr>
          <w:p w:rsidR="00AD20B7" w:rsidRPr="00286323" w:rsidRDefault="00750911">
            <w:pPr>
              <w:jc w:val="lef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易方达基金管理有限公司高级管理人员变更公告</w:t>
            </w:r>
          </w:p>
        </w:tc>
        <w:tc>
          <w:tcPr>
            <w:tcW w:w="1843" w:type="dxa"/>
          </w:tcPr>
          <w:p w:rsidR="00AD20B7" w:rsidRPr="00286323" w:rsidRDefault="00750911">
            <w:pP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2020-09-19</w:t>
            </w:r>
          </w:p>
        </w:tc>
      </w:tr>
      <w:tr w:rsidR="00286323" w:rsidRPr="00286323">
        <w:tc>
          <w:tcPr>
            <w:tcW w:w="6487" w:type="dxa"/>
          </w:tcPr>
          <w:p w:rsidR="00AD20B7" w:rsidRPr="00286323" w:rsidRDefault="00750911">
            <w:pPr>
              <w:jc w:val="lef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易方达基金管理有限公司关于延长旗下部分开放式基金在直销中心</w:t>
            </w:r>
            <w:r w:rsidRPr="00286323">
              <w:rPr>
                <w:rFonts w:asciiTheme="minorEastAsia" w:eastAsiaTheme="minorEastAsia" w:hAnsiTheme="minorEastAsia"/>
                <w:color w:val="000000" w:themeColor="text1"/>
              </w:rPr>
              <w:lastRenderedPageBreak/>
              <w:t>开展赎回费率优惠活动时间的公告</w:t>
            </w:r>
          </w:p>
        </w:tc>
        <w:tc>
          <w:tcPr>
            <w:tcW w:w="1843" w:type="dxa"/>
          </w:tcPr>
          <w:p w:rsidR="00AD20B7" w:rsidRPr="00286323" w:rsidRDefault="00750911">
            <w:pP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lastRenderedPageBreak/>
              <w:t>2020-09-25</w:t>
            </w:r>
          </w:p>
        </w:tc>
      </w:tr>
      <w:tr w:rsidR="00286323" w:rsidRPr="00286323">
        <w:tc>
          <w:tcPr>
            <w:tcW w:w="6487" w:type="dxa"/>
          </w:tcPr>
          <w:p w:rsidR="00AD20B7" w:rsidRPr="00286323" w:rsidRDefault="00750911">
            <w:pPr>
              <w:jc w:val="lef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易方达基金管理有限公司高级管理人员变更公告</w:t>
            </w:r>
          </w:p>
        </w:tc>
        <w:tc>
          <w:tcPr>
            <w:tcW w:w="1843" w:type="dxa"/>
          </w:tcPr>
          <w:p w:rsidR="00AD20B7" w:rsidRPr="00286323" w:rsidRDefault="00750911">
            <w:pP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2020-09-30</w:t>
            </w:r>
          </w:p>
        </w:tc>
      </w:tr>
      <w:tr w:rsidR="00286323" w:rsidRPr="00286323">
        <w:tc>
          <w:tcPr>
            <w:tcW w:w="6487" w:type="dxa"/>
          </w:tcPr>
          <w:p w:rsidR="00AD20B7" w:rsidRPr="00286323" w:rsidRDefault="00750911">
            <w:pPr>
              <w:jc w:val="lef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易方达基金管理有限公司关于旗下部分基金修订基金合同、托管协议的公告</w:t>
            </w:r>
          </w:p>
        </w:tc>
        <w:tc>
          <w:tcPr>
            <w:tcW w:w="1843" w:type="dxa"/>
          </w:tcPr>
          <w:p w:rsidR="00AD20B7" w:rsidRPr="00286323" w:rsidRDefault="00750911">
            <w:pP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2020-10-14</w:t>
            </w:r>
          </w:p>
        </w:tc>
      </w:tr>
      <w:tr w:rsidR="00286323" w:rsidRPr="00286323">
        <w:tc>
          <w:tcPr>
            <w:tcW w:w="6487" w:type="dxa"/>
          </w:tcPr>
          <w:p w:rsidR="00AD20B7" w:rsidRPr="00286323" w:rsidRDefault="00750911">
            <w:pPr>
              <w:jc w:val="lef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易方达基金管理有限公司旗下基金2020年第3季度报告提示性公告</w:t>
            </w:r>
          </w:p>
        </w:tc>
        <w:tc>
          <w:tcPr>
            <w:tcW w:w="1843" w:type="dxa"/>
          </w:tcPr>
          <w:p w:rsidR="00AD20B7" w:rsidRPr="00286323" w:rsidRDefault="00750911">
            <w:pP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2020-10-28</w:t>
            </w:r>
          </w:p>
        </w:tc>
      </w:tr>
      <w:tr w:rsidR="00286323" w:rsidRPr="00286323">
        <w:tc>
          <w:tcPr>
            <w:tcW w:w="6487" w:type="dxa"/>
          </w:tcPr>
          <w:p w:rsidR="00AD20B7" w:rsidRPr="00286323" w:rsidRDefault="00750911">
            <w:pPr>
              <w:jc w:val="lef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易方达基金管理有限公司关于设立深圳分公司的公告</w:t>
            </w:r>
          </w:p>
        </w:tc>
        <w:tc>
          <w:tcPr>
            <w:tcW w:w="1843" w:type="dxa"/>
          </w:tcPr>
          <w:p w:rsidR="00AD20B7" w:rsidRPr="00286323" w:rsidRDefault="00750911">
            <w:pP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2020-10-28</w:t>
            </w:r>
          </w:p>
        </w:tc>
      </w:tr>
      <w:tr w:rsidR="00286323" w:rsidRPr="00286323">
        <w:tc>
          <w:tcPr>
            <w:tcW w:w="6487" w:type="dxa"/>
          </w:tcPr>
          <w:p w:rsidR="00AD20B7" w:rsidRPr="00286323" w:rsidRDefault="00750911">
            <w:pPr>
              <w:jc w:val="lef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易方达基金管理有限公司旗下部分开放式基金增加兰州银行为销售机构的公告</w:t>
            </w:r>
          </w:p>
        </w:tc>
        <w:tc>
          <w:tcPr>
            <w:tcW w:w="1843" w:type="dxa"/>
          </w:tcPr>
          <w:p w:rsidR="00AD20B7" w:rsidRPr="00286323" w:rsidRDefault="00750911">
            <w:pP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2020-10-30</w:t>
            </w:r>
          </w:p>
        </w:tc>
      </w:tr>
      <w:tr w:rsidR="00286323" w:rsidRPr="00286323">
        <w:tc>
          <w:tcPr>
            <w:tcW w:w="6487" w:type="dxa"/>
          </w:tcPr>
          <w:p w:rsidR="00AD20B7" w:rsidRPr="00286323" w:rsidRDefault="00750911">
            <w:pPr>
              <w:jc w:val="lef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易方达基金管理有限公司关于通过大泰金石基金销售有限公司购买并持有本公司旗下基金的投资者及时办理转托管的提示性公告</w:t>
            </w:r>
          </w:p>
        </w:tc>
        <w:tc>
          <w:tcPr>
            <w:tcW w:w="1843" w:type="dxa"/>
          </w:tcPr>
          <w:p w:rsidR="00AD20B7" w:rsidRPr="00286323" w:rsidRDefault="00750911">
            <w:pP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2020-10-31</w:t>
            </w:r>
          </w:p>
        </w:tc>
      </w:tr>
      <w:tr w:rsidR="00286323" w:rsidRPr="00286323">
        <w:tc>
          <w:tcPr>
            <w:tcW w:w="6487" w:type="dxa"/>
          </w:tcPr>
          <w:p w:rsidR="00AD20B7" w:rsidRPr="00286323" w:rsidRDefault="00750911">
            <w:pPr>
              <w:jc w:val="lef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易方达沪深300量化增强证券投资基金增加红塔证券为销售机构的公告</w:t>
            </w:r>
          </w:p>
        </w:tc>
        <w:tc>
          <w:tcPr>
            <w:tcW w:w="1843" w:type="dxa"/>
          </w:tcPr>
          <w:p w:rsidR="00AD20B7" w:rsidRPr="00286323" w:rsidRDefault="00750911">
            <w:pP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2020-11-10</w:t>
            </w:r>
          </w:p>
        </w:tc>
      </w:tr>
      <w:tr w:rsidR="00286323" w:rsidRPr="00286323">
        <w:tc>
          <w:tcPr>
            <w:tcW w:w="6487" w:type="dxa"/>
          </w:tcPr>
          <w:p w:rsidR="00AD20B7" w:rsidRPr="00286323" w:rsidRDefault="00750911">
            <w:pPr>
              <w:jc w:val="lef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易方达基金管理有限公司旗下部分开放式基金增加海南银行为销售机构的公告</w:t>
            </w:r>
          </w:p>
        </w:tc>
        <w:tc>
          <w:tcPr>
            <w:tcW w:w="1843" w:type="dxa"/>
          </w:tcPr>
          <w:p w:rsidR="00AD20B7" w:rsidRPr="00286323" w:rsidRDefault="00750911">
            <w:pP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2020-11-25</w:t>
            </w:r>
          </w:p>
        </w:tc>
      </w:tr>
      <w:tr w:rsidR="00286323" w:rsidRPr="00286323">
        <w:tc>
          <w:tcPr>
            <w:tcW w:w="6487" w:type="dxa"/>
          </w:tcPr>
          <w:p w:rsidR="00AD20B7" w:rsidRPr="00286323" w:rsidRDefault="00750911">
            <w:pPr>
              <w:jc w:val="lef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易方达基金管理有限公司关于暂停上海久富财富基金销售有限公司办理旗下基金相关销售业务的公告</w:t>
            </w:r>
          </w:p>
        </w:tc>
        <w:tc>
          <w:tcPr>
            <w:tcW w:w="1843" w:type="dxa"/>
          </w:tcPr>
          <w:p w:rsidR="00AD20B7" w:rsidRPr="00286323" w:rsidRDefault="00750911">
            <w:pP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2020-12-08</w:t>
            </w:r>
          </w:p>
        </w:tc>
      </w:tr>
      <w:tr w:rsidR="00286323" w:rsidRPr="00286323">
        <w:tc>
          <w:tcPr>
            <w:tcW w:w="6487" w:type="dxa"/>
          </w:tcPr>
          <w:p w:rsidR="00AD20B7" w:rsidRPr="00286323" w:rsidRDefault="00750911">
            <w:pPr>
              <w:jc w:val="lef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关于警惕冒用易方达基金管理有限公司名义进行诈骗活动的特别提示公告</w:t>
            </w:r>
          </w:p>
        </w:tc>
        <w:tc>
          <w:tcPr>
            <w:tcW w:w="1843" w:type="dxa"/>
          </w:tcPr>
          <w:p w:rsidR="00AD20B7" w:rsidRPr="00286323" w:rsidRDefault="00750911">
            <w:pP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2020-12-10</w:t>
            </w:r>
          </w:p>
        </w:tc>
      </w:tr>
      <w:tr w:rsidR="00286323" w:rsidRPr="00286323">
        <w:tc>
          <w:tcPr>
            <w:tcW w:w="6487" w:type="dxa"/>
          </w:tcPr>
          <w:p w:rsidR="00AD20B7" w:rsidRPr="00286323" w:rsidRDefault="00750911">
            <w:pPr>
              <w:jc w:val="lef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易方达基金管理有限公司高级管理人员变更公告</w:t>
            </w:r>
          </w:p>
        </w:tc>
        <w:tc>
          <w:tcPr>
            <w:tcW w:w="1843" w:type="dxa"/>
          </w:tcPr>
          <w:p w:rsidR="00AD20B7" w:rsidRPr="00286323" w:rsidRDefault="00750911">
            <w:pP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2020-12-12</w:t>
            </w:r>
          </w:p>
        </w:tc>
      </w:tr>
      <w:tr w:rsidR="00286323" w:rsidRPr="00286323">
        <w:tc>
          <w:tcPr>
            <w:tcW w:w="6487" w:type="dxa"/>
          </w:tcPr>
          <w:p w:rsidR="00AD20B7" w:rsidRPr="00286323" w:rsidRDefault="00750911">
            <w:pPr>
              <w:jc w:val="lef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易方达基金管理有限公司关于通过深圳宜投基金销售有限公司购买并持有本公司旗下基金的投资者及时办理转托管的提示性公告</w:t>
            </w:r>
          </w:p>
        </w:tc>
        <w:tc>
          <w:tcPr>
            <w:tcW w:w="1843" w:type="dxa"/>
          </w:tcPr>
          <w:p w:rsidR="00AD20B7" w:rsidRPr="00286323" w:rsidRDefault="00750911">
            <w:pP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2020-12-16</w:t>
            </w:r>
          </w:p>
        </w:tc>
      </w:tr>
      <w:tr w:rsidR="00286323" w:rsidRPr="00286323">
        <w:tc>
          <w:tcPr>
            <w:tcW w:w="6487" w:type="dxa"/>
          </w:tcPr>
          <w:p w:rsidR="00AD20B7" w:rsidRPr="00286323" w:rsidRDefault="00750911">
            <w:pPr>
              <w:jc w:val="lef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易方达基金管理有限公司关于通过浙江金观诚基金销售有限公司购买并持有本公司旗下基金的投资者及时办理转托管的提示性公告</w:t>
            </w:r>
          </w:p>
        </w:tc>
        <w:tc>
          <w:tcPr>
            <w:tcW w:w="1843" w:type="dxa"/>
          </w:tcPr>
          <w:p w:rsidR="00AD20B7" w:rsidRPr="00286323" w:rsidRDefault="00750911">
            <w:pP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2020-12-16</w:t>
            </w:r>
          </w:p>
        </w:tc>
      </w:tr>
      <w:tr w:rsidR="00286323" w:rsidRPr="00286323">
        <w:tc>
          <w:tcPr>
            <w:tcW w:w="6487" w:type="dxa"/>
          </w:tcPr>
          <w:p w:rsidR="00AD20B7" w:rsidRPr="00286323" w:rsidRDefault="00750911">
            <w:pPr>
              <w:jc w:val="lef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易方达基金管理有限公司关于通过上海久富财富基金销售有限公司购买并持有本公司旗下基金的投资者及时办理转托管的提示性公告</w:t>
            </w:r>
          </w:p>
        </w:tc>
        <w:tc>
          <w:tcPr>
            <w:tcW w:w="1843" w:type="dxa"/>
          </w:tcPr>
          <w:p w:rsidR="00AD20B7" w:rsidRPr="00286323" w:rsidRDefault="00750911">
            <w:pP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2020-12-16</w:t>
            </w:r>
          </w:p>
        </w:tc>
      </w:tr>
      <w:tr w:rsidR="00286323" w:rsidRPr="00286323">
        <w:tc>
          <w:tcPr>
            <w:tcW w:w="6487" w:type="dxa"/>
          </w:tcPr>
          <w:p w:rsidR="00AD20B7" w:rsidRPr="00286323" w:rsidRDefault="00750911">
            <w:pPr>
              <w:jc w:val="lef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易方达基金管理有限公司旗下部分开放式基金增加东方财富证券为销售机构的公告</w:t>
            </w:r>
          </w:p>
        </w:tc>
        <w:tc>
          <w:tcPr>
            <w:tcW w:w="1843" w:type="dxa"/>
          </w:tcPr>
          <w:p w:rsidR="00AD20B7" w:rsidRPr="00286323" w:rsidRDefault="00750911">
            <w:pP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2021-01-12</w:t>
            </w:r>
          </w:p>
        </w:tc>
      </w:tr>
      <w:tr w:rsidR="00286323" w:rsidRPr="00286323">
        <w:tc>
          <w:tcPr>
            <w:tcW w:w="6487" w:type="dxa"/>
          </w:tcPr>
          <w:p w:rsidR="00AD20B7" w:rsidRPr="00286323" w:rsidRDefault="00750911">
            <w:pPr>
              <w:jc w:val="lef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易方达基金管理有限公司旗下基金2020年第4季度报告提示性公告</w:t>
            </w:r>
          </w:p>
        </w:tc>
        <w:tc>
          <w:tcPr>
            <w:tcW w:w="1843" w:type="dxa"/>
          </w:tcPr>
          <w:p w:rsidR="00AD20B7" w:rsidRPr="00286323" w:rsidRDefault="00750911">
            <w:pP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2021-01-21</w:t>
            </w:r>
          </w:p>
        </w:tc>
      </w:tr>
      <w:tr w:rsidR="00286323" w:rsidRPr="00286323">
        <w:tc>
          <w:tcPr>
            <w:tcW w:w="6487" w:type="dxa"/>
          </w:tcPr>
          <w:p w:rsidR="00AD20B7" w:rsidRPr="00286323" w:rsidRDefault="00750911">
            <w:pPr>
              <w:jc w:val="lef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易方达基金管理有限公司高级管理人员变更公告</w:t>
            </w:r>
          </w:p>
        </w:tc>
        <w:tc>
          <w:tcPr>
            <w:tcW w:w="1843" w:type="dxa"/>
          </w:tcPr>
          <w:p w:rsidR="00AD20B7" w:rsidRPr="00286323" w:rsidRDefault="00750911">
            <w:pPr>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2021-01-23</w:t>
            </w:r>
          </w:p>
        </w:tc>
      </w:tr>
    </w:tbl>
    <w:p w:rsidR="008E0212" w:rsidRPr="00286323" w:rsidRDefault="00D6151B" w:rsidP="00187A7B">
      <w:pPr>
        <w:autoSpaceDE w:val="0"/>
        <w:autoSpaceDN w:val="0"/>
        <w:adjustRightInd w:val="0"/>
        <w:snapToGrid w:val="0"/>
        <w:spacing w:line="360" w:lineRule="auto"/>
        <w:jc w:val="left"/>
        <w:rPr>
          <w:rFonts w:asciiTheme="minorEastAsia" w:eastAsiaTheme="minorEastAsia" w:hAnsiTheme="minorEastAsia" w:cs="Arial"/>
          <w:color w:val="000000" w:themeColor="text1"/>
        </w:rPr>
      </w:pPr>
      <w:r w:rsidRPr="00286323">
        <w:rPr>
          <w:rFonts w:asciiTheme="minorEastAsia" w:eastAsiaTheme="minorEastAsia" w:hAnsiTheme="minorEastAsia"/>
          <w:color w:val="000000" w:themeColor="text1"/>
        </w:rPr>
        <w:t>注：以上公告事项披露在规定媒介及基金管理人网站上。</w:t>
      </w:r>
    </w:p>
    <w:p w:rsidR="001A7CDB" w:rsidRPr="00286323" w:rsidRDefault="001A7CDB" w:rsidP="00F71D3B">
      <w:pPr>
        <w:pStyle w:val="11"/>
        <w:numPr>
          <w:ilvl w:val="0"/>
          <w:numId w:val="9"/>
        </w:numPr>
        <w:snapToGrid w:val="0"/>
        <w:spacing w:beforeLines="0" w:afterLines="0" w:line="360" w:lineRule="auto"/>
        <w:ind w:firstLineChars="0"/>
        <w:rPr>
          <w:rFonts w:asciiTheme="minorEastAsia" w:eastAsiaTheme="minorEastAsia" w:hAnsiTheme="minorEastAsia" w:cs="Arial"/>
          <w:bCs/>
          <w:color w:val="000000" w:themeColor="text1"/>
        </w:rPr>
      </w:pPr>
      <w:bookmarkStart w:id="2208" w:name="_Toc38438350"/>
      <w:bookmarkStart w:id="2209" w:name="_Toc38438687"/>
      <w:bookmarkStart w:id="2210" w:name="_Toc38439024"/>
      <w:bookmarkStart w:id="2211" w:name="_Toc38439361"/>
      <w:bookmarkStart w:id="2212" w:name="_Toc38439698"/>
      <w:bookmarkStart w:id="2213" w:name="_Toc38440035"/>
      <w:bookmarkStart w:id="2214" w:name="_Toc38440372"/>
      <w:bookmarkStart w:id="2215" w:name="_Toc38440904"/>
      <w:bookmarkStart w:id="2216" w:name="_Toc38441236"/>
      <w:bookmarkStart w:id="2217" w:name="_Toc38441568"/>
      <w:bookmarkStart w:id="2218" w:name="_Toc38441896"/>
      <w:bookmarkStart w:id="2219" w:name="_Toc38442228"/>
      <w:bookmarkStart w:id="2220" w:name="_Toc38442560"/>
      <w:bookmarkStart w:id="2221" w:name="_Toc38442891"/>
      <w:bookmarkStart w:id="2222" w:name="_Toc38443222"/>
      <w:bookmarkStart w:id="2223" w:name="_Toc38443553"/>
      <w:bookmarkStart w:id="2224" w:name="_Toc38443883"/>
      <w:bookmarkStart w:id="2225" w:name="_Toc38438351"/>
      <w:bookmarkStart w:id="2226" w:name="_Toc38438688"/>
      <w:bookmarkStart w:id="2227" w:name="_Toc38439025"/>
      <w:bookmarkStart w:id="2228" w:name="_Toc38439362"/>
      <w:bookmarkStart w:id="2229" w:name="_Toc38439699"/>
      <w:bookmarkStart w:id="2230" w:name="_Toc38440036"/>
      <w:bookmarkStart w:id="2231" w:name="_Toc38440373"/>
      <w:bookmarkStart w:id="2232" w:name="_Toc38440905"/>
      <w:bookmarkStart w:id="2233" w:name="_Toc38441237"/>
      <w:bookmarkStart w:id="2234" w:name="_Toc38441569"/>
      <w:bookmarkStart w:id="2235" w:name="_Toc38441897"/>
      <w:bookmarkStart w:id="2236" w:name="_Toc38442229"/>
      <w:bookmarkStart w:id="2237" w:name="_Toc38442561"/>
      <w:bookmarkStart w:id="2238" w:name="_Toc38442892"/>
      <w:bookmarkStart w:id="2239" w:name="_Toc38443223"/>
      <w:bookmarkStart w:id="2240" w:name="_Toc38443554"/>
      <w:bookmarkStart w:id="2241" w:name="_Toc38443884"/>
      <w:bookmarkStart w:id="2242" w:name="_Toc38438352"/>
      <w:bookmarkStart w:id="2243" w:name="_Toc38438689"/>
      <w:bookmarkStart w:id="2244" w:name="_Toc38439026"/>
      <w:bookmarkStart w:id="2245" w:name="_Toc38439363"/>
      <w:bookmarkStart w:id="2246" w:name="_Toc38439700"/>
      <w:bookmarkStart w:id="2247" w:name="_Toc38440037"/>
      <w:bookmarkStart w:id="2248" w:name="_Toc38440374"/>
      <w:bookmarkStart w:id="2249" w:name="_Toc38440906"/>
      <w:bookmarkStart w:id="2250" w:name="_Toc38441238"/>
      <w:bookmarkStart w:id="2251" w:name="_Toc38441570"/>
      <w:bookmarkStart w:id="2252" w:name="_Toc38441898"/>
      <w:bookmarkStart w:id="2253" w:name="_Toc38442230"/>
      <w:bookmarkStart w:id="2254" w:name="_Toc38442562"/>
      <w:bookmarkStart w:id="2255" w:name="_Toc38442893"/>
      <w:bookmarkStart w:id="2256" w:name="_Toc38443224"/>
      <w:bookmarkStart w:id="2257" w:name="_Toc38443555"/>
      <w:bookmarkStart w:id="2258" w:name="_Toc38443885"/>
      <w:bookmarkStart w:id="2259" w:name="_Toc38438353"/>
      <w:bookmarkStart w:id="2260" w:name="_Toc38438690"/>
      <w:bookmarkStart w:id="2261" w:name="_Toc38439027"/>
      <w:bookmarkStart w:id="2262" w:name="_Toc38439364"/>
      <w:bookmarkStart w:id="2263" w:name="_Toc38439701"/>
      <w:bookmarkStart w:id="2264" w:name="_Toc38440038"/>
      <w:bookmarkStart w:id="2265" w:name="_Toc38440375"/>
      <w:bookmarkStart w:id="2266" w:name="_Toc38440907"/>
      <w:bookmarkStart w:id="2267" w:name="_Toc38441239"/>
      <w:bookmarkStart w:id="2268" w:name="_Toc38441571"/>
      <w:bookmarkStart w:id="2269" w:name="_Toc38441899"/>
      <w:bookmarkStart w:id="2270" w:name="_Toc38442231"/>
      <w:bookmarkStart w:id="2271" w:name="_Toc38442563"/>
      <w:bookmarkStart w:id="2272" w:name="_Toc38442894"/>
      <w:bookmarkStart w:id="2273" w:name="_Toc38443225"/>
      <w:bookmarkStart w:id="2274" w:name="_Toc38443556"/>
      <w:bookmarkStart w:id="2275" w:name="_Toc38443886"/>
      <w:bookmarkStart w:id="2276" w:name="_Toc38438354"/>
      <w:bookmarkStart w:id="2277" w:name="_Toc38438691"/>
      <w:bookmarkStart w:id="2278" w:name="_Toc38439028"/>
      <w:bookmarkStart w:id="2279" w:name="_Toc38439365"/>
      <w:bookmarkStart w:id="2280" w:name="_Toc38439702"/>
      <w:bookmarkStart w:id="2281" w:name="_Toc38440039"/>
      <w:bookmarkStart w:id="2282" w:name="_Toc38440376"/>
      <w:bookmarkStart w:id="2283" w:name="_Toc38440908"/>
      <w:bookmarkStart w:id="2284" w:name="_Toc38441240"/>
      <w:bookmarkStart w:id="2285" w:name="_Toc38441572"/>
      <w:bookmarkStart w:id="2286" w:name="_Toc38441900"/>
      <w:bookmarkStart w:id="2287" w:name="_Toc38442232"/>
      <w:bookmarkStart w:id="2288" w:name="_Toc38442564"/>
      <w:bookmarkStart w:id="2289" w:name="_Toc38442895"/>
      <w:bookmarkStart w:id="2290" w:name="_Toc38443226"/>
      <w:bookmarkStart w:id="2291" w:name="_Toc38443557"/>
      <w:bookmarkStart w:id="2292" w:name="_Toc38443887"/>
      <w:bookmarkStart w:id="2293" w:name="_Toc38438355"/>
      <w:bookmarkStart w:id="2294" w:name="_Toc38438692"/>
      <w:bookmarkStart w:id="2295" w:name="_Toc38439029"/>
      <w:bookmarkStart w:id="2296" w:name="_Toc38439366"/>
      <w:bookmarkStart w:id="2297" w:name="_Toc38439703"/>
      <w:bookmarkStart w:id="2298" w:name="_Toc38440040"/>
      <w:bookmarkStart w:id="2299" w:name="_Toc38440377"/>
      <w:bookmarkStart w:id="2300" w:name="_Toc38440909"/>
      <w:bookmarkStart w:id="2301" w:name="_Toc38441241"/>
      <w:bookmarkStart w:id="2302" w:name="_Toc38441573"/>
      <w:bookmarkStart w:id="2303" w:name="_Toc38441901"/>
      <w:bookmarkStart w:id="2304" w:name="_Toc38442233"/>
      <w:bookmarkStart w:id="2305" w:name="_Toc38442565"/>
      <w:bookmarkStart w:id="2306" w:name="_Toc38442896"/>
      <w:bookmarkStart w:id="2307" w:name="_Toc38443227"/>
      <w:bookmarkStart w:id="2308" w:name="_Toc38443558"/>
      <w:bookmarkStart w:id="2309" w:name="_Toc38443888"/>
      <w:bookmarkStart w:id="2310" w:name="_Toc38438356"/>
      <w:bookmarkStart w:id="2311" w:name="_Toc38438693"/>
      <w:bookmarkStart w:id="2312" w:name="_Toc38439030"/>
      <w:bookmarkStart w:id="2313" w:name="_Toc38439367"/>
      <w:bookmarkStart w:id="2314" w:name="_Toc38439704"/>
      <w:bookmarkStart w:id="2315" w:name="_Toc38440041"/>
      <w:bookmarkStart w:id="2316" w:name="_Toc38440378"/>
      <w:bookmarkStart w:id="2317" w:name="_Toc38440910"/>
      <w:bookmarkStart w:id="2318" w:name="_Toc38441242"/>
      <w:bookmarkStart w:id="2319" w:name="_Toc38441574"/>
      <w:bookmarkStart w:id="2320" w:name="_Toc38441902"/>
      <w:bookmarkStart w:id="2321" w:name="_Toc38442234"/>
      <w:bookmarkStart w:id="2322" w:name="_Toc38442566"/>
      <w:bookmarkStart w:id="2323" w:name="_Toc38442897"/>
      <w:bookmarkStart w:id="2324" w:name="_Toc38443228"/>
      <w:bookmarkStart w:id="2325" w:name="_Toc38443559"/>
      <w:bookmarkStart w:id="2326" w:name="_Toc38443889"/>
      <w:bookmarkStart w:id="2327" w:name="_Toc38438357"/>
      <w:bookmarkStart w:id="2328" w:name="_Toc38438694"/>
      <w:bookmarkStart w:id="2329" w:name="_Toc38439031"/>
      <w:bookmarkStart w:id="2330" w:name="_Toc38439368"/>
      <w:bookmarkStart w:id="2331" w:name="_Toc38439705"/>
      <w:bookmarkStart w:id="2332" w:name="_Toc38440042"/>
      <w:bookmarkStart w:id="2333" w:name="_Toc38440379"/>
      <w:bookmarkStart w:id="2334" w:name="_Toc38440911"/>
      <w:bookmarkStart w:id="2335" w:name="_Toc38441243"/>
      <w:bookmarkStart w:id="2336" w:name="_Toc38441575"/>
      <w:bookmarkStart w:id="2337" w:name="_Toc38441903"/>
      <w:bookmarkStart w:id="2338" w:name="_Toc38442235"/>
      <w:bookmarkStart w:id="2339" w:name="_Toc38442567"/>
      <w:bookmarkStart w:id="2340" w:name="_Toc38442898"/>
      <w:bookmarkStart w:id="2341" w:name="_Toc38443229"/>
      <w:bookmarkStart w:id="2342" w:name="_Toc38443560"/>
      <w:bookmarkStart w:id="2343" w:name="_Toc38443890"/>
      <w:bookmarkStart w:id="2344" w:name="_Toc38438358"/>
      <w:bookmarkStart w:id="2345" w:name="_Toc38438695"/>
      <w:bookmarkStart w:id="2346" w:name="_Toc38439032"/>
      <w:bookmarkStart w:id="2347" w:name="_Toc38439369"/>
      <w:bookmarkStart w:id="2348" w:name="_Toc38439706"/>
      <w:bookmarkStart w:id="2349" w:name="_Toc38440043"/>
      <w:bookmarkStart w:id="2350" w:name="_Toc38440380"/>
      <w:bookmarkStart w:id="2351" w:name="_Toc38440912"/>
      <w:bookmarkStart w:id="2352" w:name="_Toc38441244"/>
      <w:bookmarkStart w:id="2353" w:name="_Toc38441576"/>
      <w:bookmarkStart w:id="2354" w:name="_Toc38441904"/>
      <w:bookmarkStart w:id="2355" w:name="_Toc38442236"/>
      <w:bookmarkStart w:id="2356" w:name="_Toc38442568"/>
      <w:bookmarkStart w:id="2357" w:name="_Toc38442899"/>
      <w:bookmarkStart w:id="2358" w:name="_Toc38443230"/>
      <w:bookmarkStart w:id="2359" w:name="_Toc38443561"/>
      <w:bookmarkStart w:id="2360" w:name="_Toc38443891"/>
      <w:bookmarkStart w:id="2361" w:name="_Toc38438359"/>
      <w:bookmarkStart w:id="2362" w:name="_Toc38438696"/>
      <w:bookmarkStart w:id="2363" w:name="_Toc38439033"/>
      <w:bookmarkStart w:id="2364" w:name="_Toc38439370"/>
      <w:bookmarkStart w:id="2365" w:name="_Toc38439707"/>
      <w:bookmarkStart w:id="2366" w:name="_Toc38440044"/>
      <w:bookmarkStart w:id="2367" w:name="_Toc38440381"/>
      <w:bookmarkStart w:id="2368" w:name="_Toc38440913"/>
      <w:bookmarkStart w:id="2369" w:name="_Toc38441245"/>
      <w:bookmarkStart w:id="2370" w:name="_Toc38441577"/>
      <w:bookmarkStart w:id="2371" w:name="_Toc38441905"/>
      <w:bookmarkStart w:id="2372" w:name="_Toc38442237"/>
      <w:bookmarkStart w:id="2373" w:name="_Toc38442569"/>
      <w:bookmarkStart w:id="2374" w:name="_Toc38442900"/>
      <w:bookmarkStart w:id="2375" w:name="_Toc38443231"/>
      <w:bookmarkStart w:id="2376" w:name="_Toc38443562"/>
      <w:bookmarkStart w:id="2377" w:name="_Toc38443892"/>
      <w:bookmarkStart w:id="2378" w:name="_Toc38438360"/>
      <w:bookmarkStart w:id="2379" w:name="_Toc38438697"/>
      <w:bookmarkStart w:id="2380" w:name="_Toc38439034"/>
      <w:bookmarkStart w:id="2381" w:name="_Toc38439371"/>
      <w:bookmarkStart w:id="2382" w:name="_Toc38439708"/>
      <w:bookmarkStart w:id="2383" w:name="_Toc38440045"/>
      <w:bookmarkStart w:id="2384" w:name="_Toc38440382"/>
      <w:bookmarkStart w:id="2385" w:name="_Toc38440914"/>
      <w:bookmarkStart w:id="2386" w:name="_Toc38441246"/>
      <w:bookmarkStart w:id="2387" w:name="_Toc38441578"/>
      <w:bookmarkStart w:id="2388" w:name="_Toc38441906"/>
      <w:bookmarkStart w:id="2389" w:name="_Toc38442238"/>
      <w:bookmarkStart w:id="2390" w:name="_Toc38442570"/>
      <w:bookmarkStart w:id="2391" w:name="_Toc38442901"/>
      <w:bookmarkStart w:id="2392" w:name="_Toc38443232"/>
      <w:bookmarkStart w:id="2393" w:name="_Toc38443563"/>
      <w:bookmarkStart w:id="2394" w:name="_Toc38443893"/>
      <w:bookmarkStart w:id="2395" w:name="_Toc38438361"/>
      <w:bookmarkStart w:id="2396" w:name="_Toc38438698"/>
      <w:bookmarkStart w:id="2397" w:name="_Toc38439035"/>
      <w:bookmarkStart w:id="2398" w:name="_Toc38439372"/>
      <w:bookmarkStart w:id="2399" w:name="_Toc38439709"/>
      <w:bookmarkStart w:id="2400" w:name="_Toc38440046"/>
      <w:bookmarkStart w:id="2401" w:name="_Toc38440383"/>
      <w:bookmarkStart w:id="2402" w:name="_Toc38440915"/>
      <w:bookmarkStart w:id="2403" w:name="_Toc38441247"/>
      <w:bookmarkStart w:id="2404" w:name="_Toc38441579"/>
      <w:bookmarkStart w:id="2405" w:name="_Toc38441907"/>
      <w:bookmarkStart w:id="2406" w:name="_Toc38442239"/>
      <w:bookmarkStart w:id="2407" w:name="_Toc38442571"/>
      <w:bookmarkStart w:id="2408" w:name="_Toc38442902"/>
      <w:bookmarkStart w:id="2409" w:name="_Toc38443233"/>
      <w:bookmarkStart w:id="2410" w:name="_Toc38443564"/>
      <w:bookmarkStart w:id="2411" w:name="_Toc38443894"/>
      <w:bookmarkStart w:id="2412" w:name="_Toc38438362"/>
      <w:bookmarkStart w:id="2413" w:name="_Toc38438699"/>
      <w:bookmarkStart w:id="2414" w:name="_Toc38439036"/>
      <w:bookmarkStart w:id="2415" w:name="_Toc38439373"/>
      <w:bookmarkStart w:id="2416" w:name="_Toc38439710"/>
      <w:bookmarkStart w:id="2417" w:name="_Toc38440047"/>
      <w:bookmarkStart w:id="2418" w:name="_Toc38440384"/>
      <w:bookmarkStart w:id="2419" w:name="_Toc38440916"/>
      <w:bookmarkStart w:id="2420" w:name="_Toc38441248"/>
      <w:bookmarkStart w:id="2421" w:name="_Toc38441580"/>
      <w:bookmarkStart w:id="2422" w:name="_Toc38441908"/>
      <w:bookmarkStart w:id="2423" w:name="_Toc38442240"/>
      <w:bookmarkStart w:id="2424" w:name="_Toc38442572"/>
      <w:bookmarkStart w:id="2425" w:name="_Toc38442903"/>
      <w:bookmarkStart w:id="2426" w:name="_Toc38443234"/>
      <w:bookmarkStart w:id="2427" w:name="_Toc38443565"/>
      <w:bookmarkStart w:id="2428" w:name="_Toc38443895"/>
      <w:bookmarkStart w:id="2429" w:name="_Toc38438363"/>
      <w:bookmarkStart w:id="2430" w:name="_Toc38438700"/>
      <w:bookmarkStart w:id="2431" w:name="_Toc38439037"/>
      <w:bookmarkStart w:id="2432" w:name="_Toc38439374"/>
      <w:bookmarkStart w:id="2433" w:name="_Toc38439711"/>
      <w:bookmarkStart w:id="2434" w:name="_Toc38440048"/>
      <w:bookmarkStart w:id="2435" w:name="_Toc38440385"/>
      <w:bookmarkStart w:id="2436" w:name="_Toc38440917"/>
      <w:bookmarkStart w:id="2437" w:name="_Toc38441249"/>
      <w:bookmarkStart w:id="2438" w:name="_Toc38441581"/>
      <w:bookmarkStart w:id="2439" w:name="_Toc38441909"/>
      <w:bookmarkStart w:id="2440" w:name="_Toc38442241"/>
      <w:bookmarkStart w:id="2441" w:name="_Toc38442573"/>
      <w:bookmarkStart w:id="2442" w:name="_Toc38442904"/>
      <w:bookmarkStart w:id="2443" w:name="_Toc38443235"/>
      <w:bookmarkStart w:id="2444" w:name="_Toc38443566"/>
      <w:bookmarkStart w:id="2445" w:name="_Toc38443896"/>
      <w:bookmarkStart w:id="2446" w:name="_Toc38438364"/>
      <w:bookmarkStart w:id="2447" w:name="_Toc38438701"/>
      <w:bookmarkStart w:id="2448" w:name="_Toc38439038"/>
      <w:bookmarkStart w:id="2449" w:name="_Toc38439375"/>
      <w:bookmarkStart w:id="2450" w:name="_Toc38439712"/>
      <w:bookmarkStart w:id="2451" w:name="_Toc38440049"/>
      <w:bookmarkStart w:id="2452" w:name="_Toc38440386"/>
      <w:bookmarkStart w:id="2453" w:name="_Toc38440918"/>
      <w:bookmarkStart w:id="2454" w:name="_Toc38441250"/>
      <w:bookmarkStart w:id="2455" w:name="_Toc38441582"/>
      <w:bookmarkStart w:id="2456" w:name="_Toc38441910"/>
      <w:bookmarkStart w:id="2457" w:name="_Toc38442242"/>
      <w:bookmarkStart w:id="2458" w:name="_Toc38442574"/>
      <w:bookmarkStart w:id="2459" w:name="_Toc38442905"/>
      <w:bookmarkStart w:id="2460" w:name="_Toc38443236"/>
      <w:bookmarkStart w:id="2461" w:name="_Toc38443567"/>
      <w:bookmarkStart w:id="2462" w:name="_Toc38443897"/>
      <w:bookmarkStart w:id="2463" w:name="_Toc38438365"/>
      <w:bookmarkStart w:id="2464" w:name="_Toc38438702"/>
      <w:bookmarkStart w:id="2465" w:name="_Toc38439039"/>
      <w:bookmarkStart w:id="2466" w:name="_Toc38439376"/>
      <w:bookmarkStart w:id="2467" w:name="_Toc38439713"/>
      <w:bookmarkStart w:id="2468" w:name="_Toc38440050"/>
      <w:bookmarkStart w:id="2469" w:name="_Toc38440387"/>
      <w:bookmarkStart w:id="2470" w:name="_Toc38440919"/>
      <w:bookmarkStart w:id="2471" w:name="_Toc38441251"/>
      <w:bookmarkStart w:id="2472" w:name="_Toc38441583"/>
      <w:bookmarkStart w:id="2473" w:name="_Toc38441911"/>
      <w:bookmarkStart w:id="2474" w:name="_Toc38442243"/>
      <w:bookmarkStart w:id="2475" w:name="_Toc38442575"/>
      <w:bookmarkStart w:id="2476" w:name="_Toc38442906"/>
      <w:bookmarkStart w:id="2477" w:name="_Toc38443237"/>
      <w:bookmarkStart w:id="2478" w:name="_Toc38443568"/>
      <w:bookmarkStart w:id="2479" w:name="_Toc38443898"/>
      <w:bookmarkStart w:id="2480" w:name="_Toc38438366"/>
      <w:bookmarkStart w:id="2481" w:name="_Toc38438703"/>
      <w:bookmarkStart w:id="2482" w:name="_Toc38439040"/>
      <w:bookmarkStart w:id="2483" w:name="_Toc38439377"/>
      <w:bookmarkStart w:id="2484" w:name="_Toc38439714"/>
      <w:bookmarkStart w:id="2485" w:name="_Toc38440051"/>
      <w:bookmarkStart w:id="2486" w:name="_Toc38440388"/>
      <w:bookmarkStart w:id="2487" w:name="_Toc38440920"/>
      <w:bookmarkStart w:id="2488" w:name="_Toc38441252"/>
      <w:bookmarkStart w:id="2489" w:name="_Toc38441584"/>
      <w:bookmarkStart w:id="2490" w:name="_Toc38441912"/>
      <w:bookmarkStart w:id="2491" w:name="_Toc38442244"/>
      <w:bookmarkStart w:id="2492" w:name="_Toc38442576"/>
      <w:bookmarkStart w:id="2493" w:name="_Toc38442907"/>
      <w:bookmarkStart w:id="2494" w:name="_Toc38443238"/>
      <w:bookmarkStart w:id="2495" w:name="_Toc38443569"/>
      <w:bookmarkStart w:id="2496" w:name="_Toc38443899"/>
      <w:bookmarkStart w:id="2497" w:name="_Toc38438367"/>
      <w:bookmarkStart w:id="2498" w:name="_Toc38438704"/>
      <w:bookmarkStart w:id="2499" w:name="_Toc38439041"/>
      <w:bookmarkStart w:id="2500" w:name="_Toc38439378"/>
      <w:bookmarkStart w:id="2501" w:name="_Toc38439715"/>
      <w:bookmarkStart w:id="2502" w:name="_Toc38440052"/>
      <w:bookmarkStart w:id="2503" w:name="_Toc38440389"/>
      <w:bookmarkStart w:id="2504" w:name="_Toc38440921"/>
      <w:bookmarkStart w:id="2505" w:name="_Toc38441253"/>
      <w:bookmarkStart w:id="2506" w:name="_Toc38441585"/>
      <w:bookmarkStart w:id="2507" w:name="_Toc38441913"/>
      <w:bookmarkStart w:id="2508" w:name="_Toc38442245"/>
      <w:bookmarkStart w:id="2509" w:name="_Toc38442577"/>
      <w:bookmarkStart w:id="2510" w:name="_Toc38442908"/>
      <w:bookmarkStart w:id="2511" w:name="_Toc38443239"/>
      <w:bookmarkStart w:id="2512" w:name="_Toc38443570"/>
      <w:bookmarkStart w:id="2513" w:name="_Toc38443900"/>
      <w:bookmarkStart w:id="2514" w:name="_Toc38438368"/>
      <w:bookmarkStart w:id="2515" w:name="_Toc38438705"/>
      <w:bookmarkStart w:id="2516" w:name="_Toc38439042"/>
      <w:bookmarkStart w:id="2517" w:name="_Toc38439379"/>
      <w:bookmarkStart w:id="2518" w:name="_Toc38439716"/>
      <w:bookmarkStart w:id="2519" w:name="_Toc38440053"/>
      <w:bookmarkStart w:id="2520" w:name="_Toc38440390"/>
      <w:bookmarkStart w:id="2521" w:name="_Toc38440922"/>
      <w:bookmarkStart w:id="2522" w:name="_Toc38441254"/>
      <w:bookmarkStart w:id="2523" w:name="_Toc38441586"/>
      <w:bookmarkStart w:id="2524" w:name="_Toc38441914"/>
      <w:bookmarkStart w:id="2525" w:name="_Toc38442246"/>
      <w:bookmarkStart w:id="2526" w:name="_Toc38442578"/>
      <w:bookmarkStart w:id="2527" w:name="_Toc38442909"/>
      <w:bookmarkStart w:id="2528" w:name="_Toc38443240"/>
      <w:bookmarkStart w:id="2529" w:name="_Toc38443571"/>
      <w:bookmarkStart w:id="2530" w:name="_Toc38443901"/>
      <w:bookmarkStart w:id="2531" w:name="_Toc38438369"/>
      <w:bookmarkStart w:id="2532" w:name="_Toc38438706"/>
      <w:bookmarkStart w:id="2533" w:name="_Toc38439043"/>
      <w:bookmarkStart w:id="2534" w:name="_Toc38439380"/>
      <w:bookmarkStart w:id="2535" w:name="_Toc38439717"/>
      <w:bookmarkStart w:id="2536" w:name="_Toc38440054"/>
      <w:bookmarkStart w:id="2537" w:name="_Toc38440391"/>
      <w:bookmarkStart w:id="2538" w:name="_Toc38440923"/>
      <w:bookmarkStart w:id="2539" w:name="_Toc38441255"/>
      <w:bookmarkStart w:id="2540" w:name="_Toc38441587"/>
      <w:bookmarkStart w:id="2541" w:name="_Toc38441915"/>
      <w:bookmarkStart w:id="2542" w:name="_Toc38442247"/>
      <w:bookmarkStart w:id="2543" w:name="_Toc38442579"/>
      <w:bookmarkStart w:id="2544" w:name="_Toc38442910"/>
      <w:bookmarkStart w:id="2545" w:name="_Toc38443241"/>
      <w:bookmarkStart w:id="2546" w:name="_Toc38443572"/>
      <w:bookmarkStart w:id="2547" w:name="_Toc38443902"/>
      <w:bookmarkStart w:id="2548" w:name="_Toc38438371"/>
      <w:bookmarkStart w:id="2549" w:name="_Toc38438708"/>
      <w:bookmarkStart w:id="2550" w:name="_Toc38439045"/>
      <w:bookmarkStart w:id="2551" w:name="_Toc38439382"/>
      <w:bookmarkStart w:id="2552" w:name="_Toc38439719"/>
      <w:bookmarkStart w:id="2553" w:name="_Toc38440056"/>
      <w:bookmarkStart w:id="2554" w:name="_Toc38440393"/>
      <w:bookmarkStart w:id="2555" w:name="_Toc38440925"/>
      <w:bookmarkStart w:id="2556" w:name="_Toc38441257"/>
      <w:bookmarkStart w:id="2557" w:name="_Toc38441589"/>
      <w:bookmarkStart w:id="2558" w:name="_Toc38441917"/>
      <w:bookmarkStart w:id="2559" w:name="_Toc38442249"/>
      <w:bookmarkStart w:id="2560" w:name="_Toc38442581"/>
      <w:bookmarkStart w:id="2561" w:name="_Toc38442912"/>
      <w:bookmarkStart w:id="2562" w:name="_Toc38443243"/>
      <w:bookmarkStart w:id="2563" w:name="_Toc38443574"/>
      <w:bookmarkStart w:id="2564" w:name="_Toc38443904"/>
      <w:bookmarkStart w:id="2565" w:name="_Toc38438372"/>
      <w:bookmarkStart w:id="2566" w:name="_Toc38438709"/>
      <w:bookmarkStart w:id="2567" w:name="_Toc38439046"/>
      <w:bookmarkStart w:id="2568" w:name="_Toc38439383"/>
      <w:bookmarkStart w:id="2569" w:name="_Toc38439720"/>
      <w:bookmarkStart w:id="2570" w:name="_Toc38440057"/>
      <w:bookmarkStart w:id="2571" w:name="_Toc38440394"/>
      <w:bookmarkStart w:id="2572" w:name="_Toc38440926"/>
      <w:bookmarkStart w:id="2573" w:name="_Toc38441258"/>
      <w:bookmarkStart w:id="2574" w:name="_Toc38441590"/>
      <w:bookmarkStart w:id="2575" w:name="_Toc38441918"/>
      <w:bookmarkStart w:id="2576" w:name="_Toc38442250"/>
      <w:bookmarkStart w:id="2577" w:name="_Toc38442582"/>
      <w:bookmarkStart w:id="2578" w:name="_Toc38442913"/>
      <w:bookmarkStart w:id="2579" w:name="_Toc38443244"/>
      <w:bookmarkStart w:id="2580" w:name="_Toc38443575"/>
      <w:bookmarkStart w:id="2581" w:name="_Toc38443905"/>
      <w:bookmarkStart w:id="2582" w:name="_Toc38438373"/>
      <w:bookmarkStart w:id="2583" w:name="_Toc38438710"/>
      <w:bookmarkStart w:id="2584" w:name="_Toc38439047"/>
      <w:bookmarkStart w:id="2585" w:name="_Toc38439384"/>
      <w:bookmarkStart w:id="2586" w:name="_Toc38439721"/>
      <w:bookmarkStart w:id="2587" w:name="_Toc38440058"/>
      <w:bookmarkStart w:id="2588" w:name="_Toc38440395"/>
      <w:bookmarkStart w:id="2589" w:name="_Toc38440927"/>
      <w:bookmarkStart w:id="2590" w:name="_Toc38441259"/>
      <w:bookmarkStart w:id="2591" w:name="_Toc38441591"/>
      <w:bookmarkStart w:id="2592" w:name="_Toc38441919"/>
      <w:bookmarkStart w:id="2593" w:name="_Toc38442251"/>
      <w:bookmarkStart w:id="2594" w:name="_Toc38442583"/>
      <w:bookmarkStart w:id="2595" w:name="_Toc38442914"/>
      <w:bookmarkStart w:id="2596" w:name="_Toc38443245"/>
      <w:bookmarkStart w:id="2597" w:name="_Toc38443576"/>
      <w:bookmarkStart w:id="2598" w:name="_Toc38443906"/>
      <w:bookmarkStart w:id="2599" w:name="_Toc38438374"/>
      <w:bookmarkStart w:id="2600" w:name="_Toc38438711"/>
      <w:bookmarkStart w:id="2601" w:name="_Toc38439048"/>
      <w:bookmarkStart w:id="2602" w:name="_Toc38439385"/>
      <w:bookmarkStart w:id="2603" w:name="_Toc38439722"/>
      <w:bookmarkStart w:id="2604" w:name="_Toc38440059"/>
      <w:bookmarkStart w:id="2605" w:name="_Toc38440396"/>
      <w:bookmarkStart w:id="2606" w:name="_Toc38440928"/>
      <w:bookmarkStart w:id="2607" w:name="_Toc38441260"/>
      <w:bookmarkStart w:id="2608" w:name="_Toc38441592"/>
      <w:bookmarkStart w:id="2609" w:name="_Toc38441920"/>
      <w:bookmarkStart w:id="2610" w:name="_Toc38442252"/>
      <w:bookmarkStart w:id="2611" w:name="_Toc38442584"/>
      <w:bookmarkStart w:id="2612" w:name="_Toc38442915"/>
      <w:bookmarkStart w:id="2613" w:name="_Toc38443246"/>
      <w:bookmarkStart w:id="2614" w:name="_Toc38443577"/>
      <w:bookmarkStart w:id="2615" w:name="_Toc38443907"/>
      <w:bookmarkStart w:id="2616" w:name="_Toc38438375"/>
      <w:bookmarkStart w:id="2617" w:name="_Toc38438712"/>
      <w:bookmarkStart w:id="2618" w:name="_Toc38439049"/>
      <w:bookmarkStart w:id="2619" w:name="_Toc38439386"/>
      <w:bookmarkStart w:id="2620" w:name="_Toc38439723"/>
      <w:bookmarkStart w:id="2621" w:name="_Toc38440060"/>
      <w:bookmarkStart w:id="2622" w:name="_Toc38440397"/>
      <w:bookmarkStart w:id="2623" w:name="_Toc38440929"/>
      <w:bookmarkStart w:id="2624" w:name="_Toc38441261"/>
      <w:bookmarkStart w:id="2625" w:name="_Toc38441593"/>
      <w:bookmarkStart w:id="2626" w:name="_Toc38441921"/>
      <w:bookmarkStart w:id="2627" w:name="_Toc38442253"/>
      <w:bookmarkStart w:id="2628" w:name="_Toc38442585"/>
      <w:bookmarkStart w:id="2629" w:name="_Toc38442916"/>
      <w:bookmarkStart w:id="2630" w:name="_Toc38443247"/>
      <w:bookmarkStart w:id="2631" w:name="_Toc38443578"/>
      <w:bookmarkStart w:id="2632" w:name="_Toc38443908"/>
      <w:bookmarkStart w:id="2633" w:name="_Toc38438376"/>
      <w:bookmarkStart w:id="2634" w:name="_Toc38438713"/>
      <w:bookmarkStart w:id="2635" w:name="_Toc38439050"/>
      <w:bookmarkStart w:id="2636" w:name="_Toc38439387"/>
      <w:bookmarkStart w:id="2637" w:name="_Toc38439724"/>
      <w:bookmarkStart w:id="2638" w:name="_Toc38440061"/>
      <w:bookmarkStart w:id="2639" w:name="_Toc38440398"/>
      <w:bookmarkStart w:id="2640" w:name="_Toc38440930"/>
      <w:bookmarkStart w:id="2641" w:name="_Toc38441262"/>
      <w:bookmarkStart w:id="2642" w:name="_Toc38441594"/>
      <w:bookmarkStart w:id="2643" w:name="_Toc38441922"/>
      <w:bookmarkStart w:id="2644" w:name="_Toc38442254"/>
      <w:bookmarkStart w:id="2645" w:name="_Toc38442586"/>
      <w:bookmarkStart w:id="2646" w:name="_Toc38442917"/>
      <w:bookmarkStart w:id="2647" w:name="_Toc38443248"/>
      <w:bookmarkStart w:id="2648" w:name="_Toc38443579"/>
      <w:bookmarkStart w:id="2649" w:name="_Toc38443909"/>
      <w:bookmarkStart w:id="2650" w:name="_Toc38438377"/>
      <w:bookmarkStart w:id="2651" w:name="_Toc38438714"/>
      <w:bookmarkStart w:id="2652" w:name="_Toc38439051"/>
      <w:bookmarkStart w:id="2653" w:name="_Toc38439388"/>
      <w:bookmarkStart w:id="2654" w:name="_Toc38439725"/>
      <w:bookmarkStart w:id="2655" w:name="_Toc38440062"/>
      <w:bookmarkStart w:id="2656" w:name="_Toc38440399"/>
      <w:bookmarkStart w:id="2657" w:name="_Toc38440931"/>
      <w:bookmarkStart w:id="2658" w:name="_Toc38441263"/>
      <w:bookmarkStart w:id="2659" w:name="_Toc38441595"/>
      <w:bookmarkStart w:id="2660" w:name="_Toc38441923"/>
      <w:bookmarkStart w:id="2661" w:name="_Toc38442255"/>
      <w:bookmarkStart w:id="2662" w:name="_Toc38442587"/>
      <w:bookmarkStart w:id="2663" w:name="_Toc38442918"/>
      <w:bookmarkStart w:id="2664" w:name="_Toc38443249"/>
      <w:bookmarkStart w:id="2665" w:name="_Toc38443580"/>
      <w:bookmarkStart w:id="2666" w:name="_Toc38443910"/>
      <w:bookmarkStart w:id="2667" w:name="_Toc38438378"/>
      <w:bookmarkStart w:id="2668" w:name="_Toc38438715"/>
      <w:bookmarkStart w:id="2669" w:name="_Toc38439052"/>
      <w:bookmarkStart w:id="2670" w:name="_Toc38439389"/>
      <w:bookmarkStart w:id="2671" w:name="_Toc38439726"/>
      <w:bookmarkStart w:id="2672" w:name="_Toc38440063"/>
      <w:bookmarkStart w:id="2673" w:name="_Toc38440400"/>
      <w:bookmarkStart w:id="2674" w:name="_Toc38440932"/>
      <w:bookmarkStart w:id="2675" w:name="_Toc38441264"/>
      <w:bookmarkStart w:id="2676" w:name="_Toc38441596"/>
      <w:bookmarkStart w:id="2677" w:name="_Toc38441924"/>
      <w:bookmarkStart w:id="2678" w:name="_Toc38442256"/>
      <w:bookmarkStart w:id="2679" w:name="_Toc38442588"/>
      <w:bookmarkStart w:id="2680" w:name="_Toc38442919"/>
      <w:bookmarkStart w:id="2681" w:name="_Toc38443250"/>
      <w:bookmarkStart w:id="2682" w:name="_Toc38443581"/>
      <w:bookmarkStart w:id="2683" w:name="_Toc38443911"/>
      <w:bookmarkStart w:id="2684" w:name="_Toc38438379"/>
      <w:bookmarkStart w:id="2685" w:name="_Toc38438716"/>
      <w:bookmarkStart w:id="2686" w:name="_Toc38439053"/>
      <w:bookmarkStart w:id="2687" w:name="_Toc38439390"/>
      <w:bookmarkStart w:id="2688" w:name="_Toc38439727"/>
      <w:bookmarkStart w:id="2689" w:name="_Toc38440064"/>
      <w:bookmarkStart w:id="2690" w:name="_Toc38440401"/>
      <w:bookmarkStart w:id="2691" w:name="_Toc38440933"/>
      <w:bookmarkStart w:id="2692" w:name="_Toc38441265"/>
      <w:bookmarkStart w:id="2693" w:name="_Toc38441597"/>
      <w:bookmarkStart w:id="2694" w:name="_Toc38441925"/>
      <w:bookmarkStart w:id="2695" w:name="_Toc38442257"/>
      <w:bookmarkStart w:id="2696" w:name="_Toc38442589"/>
      <w:bookmarkStart w:id="2697" w:name="_Toc38442920"/>
      <w:bookmarkStart w:id="2698" w:name="_Toc38443251"/>
      <w:bookmarkStart w:id="2699" w:name="_Toc38443582"/>
      <w:bookmarkStart w:id="2700" w:name="_Toc38443912"/>
      <w:bookmarkStart w:id="2701" w:name="_Toc38438380"/>
      <w:bookmarkStart w:id="2702" w:name="_Toc38438717"/>
      <w:bookmarkStart w:id="2703" w:name="_Toc38439054"/>
      <w:bookmarkStart w:id="2704" w:name="_Toc38439391"/>
      <w:bookmarkStart w:id="2705" w:name="_Toc38439728"/>
      <w:bookmarkStart w:id="2706" w:name="_Toc38440065"/>
      <w:bookmarkStart w:id="2707" w:name="_Toc38440402"/>
      <w:bookmarkStart w:id="2708" w:name="_Toc38440934"/>
      <w:bookmarkStart w:id="2709" w:name="_Toc38441266"/>
      <w:bookmarkStart w:id="2710" w:name="_Toc38441598"/>
      <w:bookmarkStart w:id="2711" w:name="_Toc38441926"/>
      <w:bookmarkStart w:id="2712" w:name="_Toc38442258"/>
      <w:bookmarkStart w:id="2713" w:name="_Toc38442590"/>
      <w:bookmarkStart w:id="2714" w:name="_Toc38442921"/>
      <w:bookmarkStart w:id="2715" w:name="_Toc38443252"/>
      <w:bookmarkStart w:id="2716" w:name="_Toc38443583"/>
      <w:bookmarkStart w:id="2717" w:name="_Toc38443913"/>
      <w:bookmarkStart w:id="2718" w:name="_Toc38438381"/>
      <w:bookmarkStart w:id="2719" w:name="_Toc38438718"/>
      <w:bookmarkStart w:id="2720" w:name="_Toc38439055"/>
      <w:bookmarkStart w:id="2721" w:name="_Toc38439392"/>
      <w:bookmarkStart w:id="2722" w:name="_Toc38439729"/>
      <w:bookmarkStart w:id="2723" w:name="_Toc38440066"/>
      <w:bookmarkStart w:id="2724" w:name="_Toc38440403"/>
      <w:bookmarkStart w:id="2725" w:name="_Toc38440935"/>
      <w:bookmarkStart w:id="2726" w:name="_Toc38441267"/>
      <w:bookmarkStart w:id="2727" w:name="_Toc38441599"/>
      <w:bookmarkStart w:id="2728" w:name="_Toc38441927"/>
      <w:bookmarkStart w:id="2729" w:name="_Toc38442259"/>
      <w:bookmarkStart w:id="2730" w:name="_Toc38442591"/>
      <w:bookmarkStart w:id="2731" w:name="_Toc38442922"/>
      <w:bookmarkStart w:id="2732" w:name="_Toc38443253"/>
      <w:bookmarkStart w:id="2733" w:name="_Toc38443584"/>
      <w:bookmarkStart w:id="2734" w:name="_Toc38443914"/>
      <w:bookmarkStart w:id="2735" w:name="_Toc38438382"/>
      <w:bookmarkStart w:id="2736" w:name="_Toc38438719"/>
      <w:bookmarkStart w:id="2737" w:name="_Toc38439056"/>
      <w:bookmarkStart w:id="2738" w:name="_Toc38439393"/>
      <w:bookmarkStart w:id="2739" w:name="_Toc38439730"/>
      <w:bookmarkStart w:id="2740" w:name="_Toc38440067"/>
      <w:bookmarkStart w:id="2741" w:name="_Toc38440404"/>
      <w:bookmarkStart w:id="2742" w:name="_Toc38440936"/>
      <w:bookmarkStart w:id="2743" w:name="_Toc38441268"/>
      <w:bookmarkStart w:id="2744" w:name="_Toc38441600"/>
      <w:bookmarkStart w:id="2745" w:name="_Toc38441928"/>
      <w:bookmarkStart w:id="2746" w:name="_Toc38442260"/>
      <w:bookmarkStart w:id="2747" w:name="_Toc38442592"/>
      <w:bookmarkStart w:id="2748" w:name="_Toc38442923"/>
      <w:bookmarkStart w:id="2749" w:name="_Toc38443254"/>
      <w:bookmarkStart w:id="2750" w:name="_Toc38443585"/>
      <w:bookmarkStart w:id="2751" w:name="_Toc38443915"/>
      <w:bookmarkStart w:id="2752" w:name="_Toc38438383"/>
      <w:bookmarkStart w:id="2753" w:name="_Toc38438720"/>
      <w:bookmarkStart w:id="2754" w:name="_Toc38439057"/>
      <w:bookmarkStart w:id="2755" w:name="_Toc38439394"/>
      <w:bookmarkStart w:id="2756" w:name="_Toc38439731"/>
      <w:bookmarkStart w:id="2757" w:name="_Toc38440068"/>
      <w:bookmarkStart w:id="2758" w:name="_Toc38440405"/>
      <w:bookmarkStart w:id="2759" w:name="_Toc38440937"/>
      <w:bookmarkStart w:id="2760" w:name="_Toc38441269"/>
      <w:bookmarkStart w:id="2761" w:name="_Toc38441601"/>
      <w:bookmarkStart w:id="2762" w:name="_Toc38441929"/>
      <w:bookmarkStart w:id="2763" w:name="_Toc38442261"/>
      <w:bookmarkStart w:id="2764" w:name="_Toc38442593"/>
      <w:bookmarkStart w:id="2765" w:name="_Toc38442924"/>
      <w:bookmarkStart w:id="2766" w:name="_Toc38443255"/>
      <w:bookmarkStart w:id="2767" w:name="_Toc38443586"/>
      <w:bookmarkStart w:id="2768" w:name="_Toc38443916"/>
      <w:bookmarkStart w:id="2769" w:name="_Toc38438384"/>
      <w:bookmarkStart w:id="2770" w:name="_Toc38438721"/>
      <w:bookmarkStart w:id="2771" w:name="_Toc38439058"/>
      <w:bookmarkStart w:id="2772" w:name="_Toc38439395"/>
      <w:bookmarkStart w:id="2773" w:name="_Toc38439732"/>
      <w:bookmarkStart w:id="2774" w:name="_Toc38440069"/>
      <w:bookmarkStart w:id="2775" w:name="_Toc38440406"/>
      <w:bookmarkStart w:id="2776" w:name="_Toc38440938"/>
      <w:bookmarkStart w:id="2777" w:name="_Toc38441270"/>
      <w:bookmarkStart w:id="2778" w:name="_Toc38441602"/>
      <w:bookmarkStart w:id="2779" w:name="_Toc38441930"/>
      <w:bookmarkStart w:id="2780" w:name="_Toc38442262"/>
      <w:bookmarkStart w:id="2781" w:name="_Toc38442594"/>
      <w:bookmarkStart w:id="2782" w:name="_Toc38442925"/>
      <w:bookmarkStart w:id="2783" w:name="_Toc38443256"/>
      <w:bookmarkStart w:id="2784" w:name="_Toc38443587"/>
      <w:bookmarkStart w:id="2785" w:name="_Toc38443917"/>
      <w:bookmarkStart w:id="2786" w:name="_Toc38438385"/>
      <w:bookmarkStart w:id="2787" w:name="_Toc38438722"/>
      <w:bookmarkStart w:id="2788" w:name="_Toc38439059"/>
      <w:bookmarkStart w:id="2789" w:name="_Toc38439396"/>
      <w:bookmarkStart w:id="2790" w:name="_Toc38439733"/>
      <w:bookmarkStart w:id="2791" w:name="_Toc38440070"/>
      <w:bookmarkStart w:id="2792" w:name="_Toc38440407"/>
      <w:bookmarkStart w:id="2793" w:name="_Toc38440939"/>
      <w:bookmarkStart w:id="2794" w:name="_Toc38441271"/>
      <w:bookmarkStart w:id="2795" w:name="_Toc38441603"/>
      <w:bookmarkStart w:id="2796" w:name="_Toc38441931"/>
      <w:bookmarkStart w:id="2797" w:name="_Toc38442263"/>
      <w:bookmarkStart w:id="2798" w:name="_Toc38442595"/>
      <w:bookmarkStart w:id="2799" w:name="_Toc38442926"/>
      <w:bookmarkStart w:id="2800" w:name="_Toc38443257"/>
      <w:bookmarkStart w:id="2801" w:name="_Toc38443588"/>
      <w:bookmarkStart w:id="2802" w:name="_Toc38443918"/>
      <w:bookmarkStart w:id="2803" w:name="_Toc38438386"/>
      <w:bookmarkStart w:id="2804" w:name="_Toc38438723"/>
      <w:bookmarkStart w:id="2805" w:name="_Toc38439060"/>
      <w:bookmarkStart w:id="2806" w:name="_Toc38439397"/>
      <w:bookmarkStart w:id="2807" w:name="_Toc38439734"/>
      <w:bookmarkStart w:id="2808" w:name="_Toc38440071"/>
      <w:bookmarkStart w:id="2809" w:name="_Toc38440408"/>
      <w:bookmarkStart w:id="2810" w:name="_Toc38440940"/>
      <w:bookmarkStart w:id="2811" w:name="_Toc38441272"/>
      <w:bookmarkStart w:id="2812" w:name="_Toc38441604"/>
      <w:bookmarkStart w:id="2813" w:name="_Toc38441932"/>
      <w:bookmarkStart w:id="2814" w:name="_Toc38442264"/>
      <w:bookmarkStart w:id="2815" w:name="_Toc38442596"/>
      <w:bookmarkStart w:id="2816" w:name="_Toc38442927"/>
      <w:bookmarkStart w:id="2817" w:name="_Toc38443258"/>
      <w:bookmarkStart w:id="2818" w:name="_Toc38443589"/>
      <w:bookmarkStart w:id="2819" w:name="_Toc38443919"/>
      <w:bookmarkStart w:id="2820" w:name="_Toc38438387"/>
      <w:bookmarkStart w:id="2821" w:name="_Toc38438724"/>
      <w:bookmarkStart w:id="2822" w:name="_Toc38439061"/>
      <w:bookmarkStart w:id="2823" w:name="_Toc38439398"/>
      <w:bookmarkStart w:id="2824" w:name="_Toc38439735"/>
      <w:bookmarkStart w:id="2825" w:name="_Toc38440072"/>
      <w:bookmarkStart w:id="2826" w:name="_Toc38440409"/>
      <w:bookmarkStart w:id="2827" w:name="_Toc38440941"/>
      <w:bookmarkStart w:id="2828" w:name="_Toc38441273"/>
      <w:bookmarkStart w:id="2829" w:name="_Toc38441605"/>
      <w:bookmarkStart w:id="2830" w:name="_Toc38441933"/>
      <w:bookmarkStart w:id="2831" w:name="_Toc38442265"/>
      <w:bookmarkStart w:id="2832" w:name="_Toc38442597"/>
      <w:bookmarkStart w:id="2833" w:name="_Toc38442928"/>
      <w:bookmarkStart w:id="2834" w:name="_Toc38443259"/>
      <w:bookmarkStart w:id="2835" w:name="_Toc38443590"/>
      <w:bookmarkStart w:id="2836" w:name="_Toc38443920"/>
      <w:bookmarkStart w:id="2837" w:name="_Toc38438388"/>
      <w:bookmarkStart w:id="2838" w:name="_Toc38438725"/>
      <w:bookmarkStart w:id="2839" w:name="_Toc38439062"/>
      <w:bookmarkStart w:id="2840" w:name="_Toc38439399"/>
      <w:bookmarkStart w:id="2841" w:name="_Toc38439736"/>
      <w:bookmarkStart w:id="2842" w:name="_Toc38440073"/>
      <w:bookmarkStart w:id="2843" w:name="_Toc38440410"/>
      <w:bookmarkStart w:id="2844" w:name="_Toc38440942"/>
      <w:bookmarkStart w:id="2845" w:name="_Toc38441274"/>
      <w:bookmarkStart w:id="2846" w:name="_Toc38441606"/>
      <w:bookmarkStart w:id="2847" w:name="_Toc38441934"/>
      <w:bookmarkStart w:id="2848" w:name="_Toc38442266"/>
      <w:bookmarkStart w:id="2849" w:name="_Toc38442598"/>
      <w:bookmarkStart w:id="2850" w:name="_Toc38442929"/>
      <w:bookmarkStart w:id="2851" w:name="_Toc38443260"/>
      <w:bookmarkStart w:id="2852" w:name="_Toc38443591"/>
      <w:bookmarkStart w:id="2853" w:name="_Toc38443921"/>
      <w:bookmarkStart w:id="2854" w:name="_Toc38438389"/>
      <w:bookmarkStart w:id="2855" w:name="_Toc38438726"/>
      <w:bookmarkStart w:id="2856" w:name="_Toc38439063"/>
      <w:bookmarkStart w:id="2857" w:name="_Toc38439400"/>
      <w:bookmarkStart w:id="2858" w:name="_Toc38439737"/>
      <w:bookmarkStart w:id="2859" w:name="_Toc38440074"/>
      <w:bookmarkStart w:id="2860" w:name="_Toc38440411"/>
      <w:bookmarkStart w:id="2861" w:name="_Toc38440943"/>
      <w:bookmarkStart w:id="2862" w:name="_Toc38441275"/>
      <w:bookmarkStart w:id="2863" w:name="_Toc38441607"/>
      <w:bookmarkStart w:id="2864" w:name="_Toc38441935"/>
      <w:bookmarkStart w:id="2865" w:name="_Toc38442267"/>
      <w:bookmarkStart w:id="2866" w:name="_Toc38442599"/>
      <w:bookmarkStart w:id="2867" w:name="_Toc38442930"/>
      <w:bookmarkStart w:id="2868" w:name="_Toc38443261"/>
      <w:bookmarkStart w:id="2869" w:name="_Toc38443592"/>
      <w:bookmarkStart w:id="2870" w:name="_Toc38443922"/>
      <w:bookmarkStart w:id="2871" w:name="_Toc38438390"/>
      <w:bookmarkStart w:id="2872" w:name="_Toc38438727"/>
      <w:bookmarkStart w:id="2873" w:name="_Toc38439064"/>
      <w:bookmarkStart w:id="2874" w:name="_Toc38439401"/>
      <w:bookmarkStart w:id="2875" w:name="_Toc38439738"/>
      <w:bookmarkStart w:id="2876" w:name="_Toc38440075"/>
      <w:bookmarkStart w:id="2877" w:name="_Toc38440412"/>
      <w:bookmarkStart w:id="2878" w:name="_Toc38440944"/>
      <w:bookmarkStart w:id="2879" w:name="_Toc38441276"/>
      <w:bookmarkStart w:id="2880" w:name="_Toc38441608"/>
      <w:bookmarkStart w:id="2881" w:name="_Toc38441936"/>
      <w:bookmarkStart w:id="2882" w:name="_Toc38442268"/>
      <w:bookmarkStart w:id="2883" w:name="_Toc38442600"/>
      <w:bookmarkStart w:id="2884" w:name="_Toc38442931"/>
      <w:bookmarkStart w:id="2885" w:name="_Toc38443262"/>
      <w:bookmarkStart w:id="2886" w:name="_Toc38443593"/>
      <w:bookmarkStart w:id="2887" w:name="_Toc38443923"/>
      <w:bookmarkStart w:id="2888" w:name="_Toc38438391"/>
      <w:bookmarkStart w:id="2889" w:name="_Toc38438728"/>
      <w:bookmarkStart w:id="2890" w:name="_Toc38439065"/>
      <w:bookmarkStart w:id="2891" w:name="_Toc38439402"/>
      <w:bookmarkStart w:id="2892" w:name="_Toc38439739"/>
      <w:bookmarkStart w:id="2893" w:name="_Toc38440076"/>
      <w:bookmarkStart w:id="2894" w:name="_Toc38440413"/>
      <w:bookmarkStart w:id="2895" w:name="_Toc38440945"/>
      <w:bookmarkStart w:id="2896" w:name="_Toc38441277"/>
      <w:bookmarkStart w:id="2897" w:name="_Toc38441609"/>
      <w:bookmarkStart w:id="2898" w:name="_Toc38441937"/>
      <w:bookmarkStart w:id="2899" w:name="_Toc38442269"/>
      <w:bookmarkStart w:id="2900" w:name="_Toc38442601"/>
      <w:bookmarkStart w:id="2901" w:name="_Toc38442932"/>
      <w:bookmarkStart w:id="2902" w:name="_Toc38443263"/>
      <w:bookmarkStart w:id="2903" w:name="_Toc38443594"/>
      <w:bookmarkStart w:id="2904" w:name="_Toc38443924"/>
      <w:bookmarkStart w:id="2905" w:name="_Toc38438392"/>
      <w:bookmarkStart w:id="2906" w:name="_Toc38438729"/>
      <w:bookmarkStart w:id="2907" w:name="_Toc38439066"/>
      <w:bookmarkStart w:id="2908" w:name="_Toc38439403"/>
      <w:bookmarkStart w:id="2909" w:name="_Toc38439740"/>
      <w:bookmarkStart w:id="2910" w:name="_Toc38440077"/>
      <w:bookmarkStart w:id="2911" w:name="_Toc38440414"/>
      <w:bookmarkStart w:id="2912" w:name="_Toc38440946"/>
      <w:bookmarkStart w:id="2913" w:name="_Toc38441278"/>
      <w:bookmarkStart w:id="2914" w:name="_Toc38441610"/>
      <w:bookmarkStart w:id="2915" w:name="_Toc38441938"/>
      <w:bookmarkStart w:id="2916" w:name="_Toc38442270"/>
      <w:bookmarkStart w:id="2917" w:name="_Toc38442602"/>
      <w:bookmarkStart w:id="2918" w:name="_Toc38442933"/>
      <w:bookmarkStart w:id="2919" w:name="_Toc38443264"/>
      <w:bookmarkStart w:id="2920" w:name="_Toc38443595"/>
      <w:bookmarkStart w:id="2921" w:name="_Toc38443925"/>
      <w:bookmarkStart w:id="2922" w:name="_Toc38438393"/>
      <w:bookmarkStart w:id="2923" w:name="_Toc38438730"/>
      <w:bookmarkStart w:id="2924" w:name="_Toc38439067"/>
      <w:bookmarkStart w:id="2925" w:name="_Toc38439404"/>
      <w:bookmarkStart w:id="2926" w:name="_Toc38439741"/>
      <w:bookmarkStart w:id="2927" w:name="_Toc38440078"/>
      <w:bookmarkStart w:id="2928" w:name="_Toc38440415"/>
      <w:bookmarkStart w:id="2929" w:name="_Toc38440947"/>
      <w:bookmarkStart w:id="2930" w:name="_Toc38441279"/>
      <w:bookmarkStart w:id="2931" w:name="_Toc38441611"/>
      <w:bookmarkStart w:id="2932" w:name="_Toc38441939"/>
      <w:bookmarkStart w:id="2933" w:name="_Toc38442271"/>
      <w:bookmarkStart w:id="2934" w:name="_Toc38442603"/>
      <w:bookmarkStart w:id="2935" w:name="_Toc38442934"/>
      <w:bookmarkStart w:id="2936" w:name="_Toc38443265"/>
      <w:bookmarkStart w:id="2937" w:name="_Toc38443596"/>
      <w:bookmarkStart w:id="2938" w:name="_Toc38443926"/>
      <w:bookmarkStart w:id="2939" w:name="_Toc38438394"/>
      <w:bookmarkStart w:id="2940" w:name="_Toc38438731"/>
      <w:bookmarkStart w:id="2941" w:name="_Toc38439068"/>
      <w:bookmarkStart w:id="2942" w:name="_Toc38439405"/>
      <w:bookmarkStart w:id="2943" w:name="_Toc38439742"/>
      <w:bookmarkStart w:id="2944" w:name="_Toc38440079"/>
      <w:bookmarkStart w:id="2945" w:name="_Toc38440416"/>
      <w:bookmarkStart w:id="2946" w:name="_Toc38440948"/>
      <w:bookmarkStart w:id="2947" w:name="_Toc38441280"/>
      <w:bookmarkStart w:id="2948" w:name="_Toc38441612"/>
      <w:bookmarkStart w:id="2949" w:name="_Toc38441940"/>
      <w:bookmarkStart w:id="2950" w:name="_Toc38442272"/>
      <w:bookmarkStart w:id="2951" w:name="_Toc38442604"/>
      <w:bookmarkStart w:id="2952" w:name="_Toc38442935"/>
      <w:bookmarkStart w:id="2953" w:name="_Toc38443266"/>
      <w:bookmarkStart w:id="2954" w:name="_Toc38443597"/>
      <w:bookmarkStart w:id="2955" w:name="_Toc38443927"/>
      <w:bookmarkStart w:id="2956" w:name="_Toc38438395"/>
      <w:bookmarkStart w:id="2957" w:name="_Toc38438732"/>
      <w:bookmarkStart w:id="2958" w:name="_Toc38439069"/>
      <w:bookmarkStart w:id="2959" w:name="_Toc38439406"/>
      <w:bookmarkStart w:id="2960" w:name="_Toc38439743"/>
      <w:bookmarkStart w:id="2961" w:name="_Toc38440080"/>
      <w:bookmarkStart w:id="2962" w:name="_Toc38440417"/>
      <w:bookmarkStart w:id="2963" w:name="_Toc38440949"/>
      <w:bookmarkStart w:id="2964" w:name="_Toc38441281"/>
      <w:bookmarkStart w:id="2965" w:name="_Toc38441613"/>
      <w:bookmarkStart w:id="2966" w:name="_Toc38441941"/>
      <w:bookmarkStart w:id="2967" w:name="_Toc38442273"/>
      <w:bookmarkStart w:id="2968" w:name="_Toc38442605"/>
      <w:bookmarkStart w:id="2969" w:name="_Toc38442936"/>
      <w:bookmarkStart w:id="2970" w:name="_Toc38443267"/>
      <w:bookmarkStart w:id="2971" w:name="_Toc38443598"/>
      <w:bookmarkStart w:id="2972" w:name="_Toc38443928"/>
      <w:bookmarkStart w:id="2973" w:name="_Toc38438396"/>
      <w:bookmarkStart w:id="2974" w:name="_Toc38438733"/>
      <w:bookmarkStart w:id="2975" w:name="_Toc38439070"/>
      <w:bookmarkStart w:id="2976" w:name="_Toc38439407"/>
      <w:bookmarkStart w:id="2977" w:name="_Toc38439744"/>
      <w:bookmarkStart w:id="2978" w:name="_Toc38440081"/>
      <w:bookmarkStart w:id="2979" w:name="_Toc38440418"/>
      <w:bookmarkStart w:id="2980" w:name="_Toc38440950"/>
      <w:bookmarkStart w:id="2981" w:name="_Toc38441282"/>
      <w:bookmarkStart w:id="2982" w:name="_Toc38441614"/>
      <w:bookmarkStart w:id="2983" w:name="_Toc38441942"/>
      <w:bookmarkStart w:id="2984" w:name="_Toc38442274"/>
      <w:bookmarkStart w:id="2985" w:name="_Toc38442606"/>
      <w:bookmarkStart w:id="2986" w:name="_Toc38442937"/>
      <w:bookmarkStart w:id="2987" w:name="_Toc38443268"/>
      <w:bookmarkStart w:id="2988" w:name="_Toc38443599"/>
      <w:bookmarkStart w:id="2989" w:name="_Toc38443929"/>
      <w:bookmarkStart w:id="2990" w:name="_Toc38438397"/>
      <w:bookmarkStart w:id="2991" w:name="_Toc38438734"/>
      <w:bookmarkStart w:id="2992" w:name="_Toc38439071"/>
      <w:bookmarkStart w:id="2993" w:name="_Toc38439408"/>
      <w:bookmarkStart w:id="2994" w:name="_Toc38439745"/>
      <w:bookmarkStart w:id="2995" w:name="_Toc38440082"/>
      <w:bookmarkStart w:id="2996" w:name="_Toc38440419"/>
      <w:bookmarkStart w:id="2997" w:name="_Toc38440951"/>
      <w:bookmarkStart w:id="2998" w:name="_Toc38441283"/>
      <w:bookmarkStart w:id="2999" w:name="_Toc38441615"/>
      <w:bookmarkStart w:id="3000" w:name="_Toc38441943"/>
      <w:bookmarkStart w:id="3001" w:name="_Toc38442275"/>
      <w:bookmarkStart w:id="3002" w:name="_Toc38442607"/>
      <w:bookmarkStart w:id="3003" w:name="_Toc38442938"/>
      <w:bookmarkStart w:id="3004" w:name="_Toc38443269"/>
      <w:bookmarkStart w:id="3005" w:name="_Toc38443600"/>
      <w:bookmarkStart w:id="3006" w:name="_Toc38443930"/>
      <w:bookmarkStart w:id="3007" w:name="_Toc38438398"/>
      <w:bookmarkStart w:id="3008" w:name="_Toc38438735"/>
      <w:bookmarkStart w:id="3009" w:name="_Toc38439072"/>
      <w:bookmarkStart w:id="3010" w:name="_Toc38439409"/>
      <w:bookmarkStart w:id="3011" w:name="_Toc38439746"/>
      <w:bookmarkStart w:id="3012" w:name="_Toc38440083"/>
      <w:bookmarkStart w:id="3013" w:name="_Toc38440420"/>
      <w:bookmarkStart w:id="3014" w:name="_Toc38440952"/>
      <w:bookmarkStart w:id="3015" w:name="_Toc38441284"/>
      <w:bookmarkStart w:id="3016" w:name="_Toc38441616"/>
      <w:bookmarkStart w:id="3017" w:name="_Toc38441944"/>
      <w:bookmarkStart w:id="3018" w:name="_Toc38442276"/>
      <w:bookmarkStart w:id="3019" w:name="_Toc38442608"/>
      <w:bookmarkStart w:id="3020" w:name="_Toc38442939"/>
      <w:bookmarkStart w:id="3021" w:name="_Toc38443270"/>
      <w:bookmarkStart w:id="3022" w:name="_Toc38443601"/>
      <w:bookmarkStart w:id="3023" w:name="_Toc38443931"/>
      <w:bookmarkStart w:id="3024" w:name="_Toc38438400"/>
      <w:bookmarkStart w:id="3025" w:name="_Toc38438737"/>
      <w:bookmarkStart w:id="3026" w:name="_Toc38439074"/>
      <w:bookmarkStart w:id="3027" w:name="_Toc38439411"/>
      <w:bookmarkStart w:id="3028" w:name="_Toc38439748"/>
      <w:bookmarkStart w:id="3029" w:name="_Toc38440085"/>
      <w:bookmarkStart w:id="3030" w:name="_Toc38440422"/>
      <w:bookmarkStart w:id="3031" w:name="_Toc38440954"/>
      <w:bookmarkStart w:id="3032" w:name="_Toc38441286"/>
      <w:bookmarkStart w:id="3033" w:name="_Toc38441618"/>
      <w:bookmarkStart w:id="3034" w:name="_Toc38441946"/>
      <w:bookmarkStart w:id="3035" w:name="_Toc38442278"/>
      <w:bookmarkStart w:id="3036" w:name="_Toc38442610"/>
      <w:bookmarkStart w:id="3037" w:name="_Toc38442941"/>
      <w:bookmarkStart w:id="3038" w:name="_Toc38443272"/>
      <w:bookmarkStart w:id="3039" w:name="_Toc38443603"/>
      <w:bookmarkStart w:id="3040" w:name="_Toc38443933"/>
      <w:bookmarkStart w:id="3041" w:name="_Toc38438401"/>
      <w:bookmarkStart w:id="3042" w:name="_Toc38438738"/>
      <w:bookmarkStart w:id="3043" w:name="_Toc38439075"/>
      <w:bookmarkStart w:id="3044" w:name="_Toc38439412"/>
      <w:bookmarkStart w:id="3045" w:name="_Toc38439749"/>
      <w:bookmarkStart w:id="3046" w:name="_Toc38440086"/>
      <w:bookmarkStart w:id="3047" w:name="_Toc38440423"/>
      <w:bookmarkStart w:id="3048" w:name="_Toc38440955"/>
      <w:bookmarkStart w:id="3049" w:name="_Toc38441287"/>
      <w:bookmarkStart w:id="3050" w:name="_Toc38441619"/>
      <w:bookmarkStart w:id="3051" w:name="_Toc38441947"/>
      <w:bookmarkStart w:id="3052" w:name="_Toc38442279"/>
      <w:bookmarkStart w:id="3053" w:name="_Toc38442611"/>
      <w:bookmarkStart w:id="3054" w:name="_Toc38442942"/>
      <w:bookmarkStart w:id="3055" w:name="_Toc38443273"/>
      <w:bookmarkStart w:id="3056" w:name="_Toc38443604"/>
      <w:bookmarkStart w:id="3057" w:name="_Toc38443934"/>
      <w:bookmarkStart w:id="3058" w:name="_Toc38438402"/>
      <w:bookmarkStart w:id="3059" w:name="_Toc38438739"/>
      <w:bookmarkStart w:id="3060" w:name="_Toc38439076"/>
      <w:bookmarkStart w:id="3061" w:name="_Toc38439413"/>
      <w:bookmarkStart w:id="3062" w:name="_Toc38439750"/>
      <w:bookmarkStart w:id="3063" w:name="_Toc38440087"/>
      <w:bookmarkStart w:id="3064" w:name="_Toc38440424"/>
      <w:bookmarkStart w:id="3065" w:name="_Toc38440956"/>
      <w:bookmarkStart w:id="3066" w:name="_Toc38441288"/>
      <w:bookmarkStart w:id="3067" w:name="_Toc38441620"/>
      <w:bookmarkStart w:id="3068" w:name="_Toc38441948"/>
      <w:bookmarkStart w:id="3069" w:name="_Toc38442280"/>
      <w:bookmarkStart w:id="3070" w:name="_Toc38442612"/>
      <w:bookmarkStart w:id="3071" w:name="_Toc38442943"/>
      <w:bookmarkStart w:id="3072" w:name="_Toc38443274"/>
      <w:bookmarkStart w:id="3073" w:name="_Toc38443605"/>
      <w:bookmarkStart w:id="3074" w:name="_Toc38443935"/>
      <w:bookmarkStart w:id="3075" w:name="_Toc38438404"/>
      <w:bookmarkStart w:id="3076" w:name="_Toc38438741"/>
      <w:bookmarkStart w:id="3077" w:name="_Toc38439078"/>
      <w:bookmarkStart w:id="3078" w:name="_Toc38439415"/>
      <w:bookmarkStart w:id="3079" w:name="_Toc38439752"/>
      <w:bookmarkStart w:id="3080" w:name="_Toc38440089"/>
      <w:bookmarkStart w:id="3081" w:name="_Toc38440426"/>
      <w:bookmarkStart w:id="3082" w:name="_Toc38440958"/>
      <w:bookmarkStart w:id="3083" w:name="_Toc38441290"/>
      <w:bookmarkStart w:id="3084" w:name="_Toc38441622"/>
      <w:bookmarkStart w:id="3085" w:name="_Toc38441950"/>
      <w:bookmarkStart w:id="3086" w:name="_Toc38442282"/>
      <w:bookmarkStart w:id="3087" w:name="_Toc38442614"/>
      <w:bookmarkStart w:id="3088" w:name="_Toc38442945"/>
      <w:bookmarkStart w:id="3089" w:name="_Toc38443276"/>
      <w:bookmarkStart w:id="3090" w:name="_Toc38443607"/>
      <w:bookmarkStart w:id="3091" w:name="_Toc38443937"/>
      <w:bookmarkStart w:id="3092" w:name="_Toc38438405"/>
      <w:bookmarkStart w:id="3093" w:name="_Toc38438742"/>
      <w:bookmarkStart w:id="3094" w:name="_Toc38439079"/>
      <w:bookmarkStart w:id="3095" w:name="_Toc38439416"/>
      <w:bookmarkStart w:id="3096" w:name="_Toc38439753"/>
      <w:bookmarkStart w:id="3097" w:name="_Toc38440090"/>
      <w:bookmarkStart w:id="3098" w:name="_Toc38440427"/>
      <w:bookmarkStart w:id="3099" w:name="_Toc38440959"/>
      <w:bookmarkStart w:id="3100" w:name="_Toc38441291"/>
      <w:bookmarkStart w:id="3101" w:name="_Toc38441623"/>
      <w:bookmarkStart w:id="3102" w:name="_Toc38441951"/>
      <w:bookmarkStart w:id="3103" w:name="_Toc38442283"/>
      <w:bookmarkStart w:id="3104" w:name="_Toc38442615"/>
      <w:bookmarkStart w:id="3105" w:name="_Toc38442946"/>
      <w:bookmarkStart w:id="3106" w:name="_Toc38443277"/>
      <w:bookmarkStart w:id="3107" w:name="_Toc38443608"/>
      <w:bookmarkStart w:id="3108" w:name="_Toc38443938"/>
      <w:bookmarkStart w:id="3109" w:name="_Toc38438406"/>
      <w:bookmarkStart w:id="3110" w:name="_Toc38438743"/>
      <w:bookmarkStart w:id="3111" w:name="_Toc38439080"/>
      <w:bookmarkStart w:id="3112" w:name="_Toc38439417"/>
      <w:bookmarkStart w:id="3113" w:name="_Toc38439754"/>
      <w:bookmarkStart w:id="3114" w:name="_Toc38440091"/>
      <w:bookmarkStart w:id="3115" w:name="_Toc38440428"/>
      <w:bookmarkStart w:id="3116" w:name="_Toc38440960"/>
      <w:bookmarkStart w:id="3117" w:name="_Toc38441292"/>
      <w:bookmarkStart w:id="3118" w:name="_Toc38441624"/>
      <w:bookmarkStart w:id="3119" w:name="_Toc38441952"/>
      <w:bookmarkStart w:id="3120" w:name="_Toc38442284"/>
      <w:bookmarkStart w:id="3121" w:name="_Toc38442616"/>
      <w:bookmarkStart w:id="3122" w:name="_Toc38442947"/>
      <w:bookmarkStart w:id="3123" w:name="_Toc38443278"/>
      <w:bookmarkStart w:id="3124" w:name="_Toc38443609"/>
      <w:bookmarkStart w:id="3125" w:name="_Toc38443939"/>
      <w:bookmarkStart w:id="3126" w:name="_Toc38438407"/>
      <w:bookmarkStart w:id="3127" w:name="_Toc38438744"/>
      <w:bookmarkStart w:id="3128" w:name="_Toc38439081"/>
      <w:bookmarkStart w:id="3129" w:name="_Toc38439418"/>
      <w:bookmarkStart w:id="3130" w:name="_Toc38439755"/>
      <w:bookmarkStart w:id="3131" w:name="_Toc38440092"/>
      <w:bookmarkStart w:id="3132" w:name="_Toc38440429"/>
      <w:bookmarkStart w:id="3133" w:name="_Toc38440961"/>
      <w:bookmarkStart w:id="3134" w:name="_Toc38441293"/>
      <w:bookmarkStart w:id="3135" w:name="_Toc38441625"/>
      <w:bookmarkStart w:id="3136" w:name="_Toc38441953"/>
      <w:bookmarkStart w:id="3137" w:name="_Toc38442285"/>
      <w:bookmarkStart w:id="3138" w:name="_Toc38442617"/>
      <w:bookmarkStart w:id="3139" w:name="_Toc38442948"/>
      <w:bookmarkStart w:id="3140" w:name="_Toc38443279"/>
      <w:bookmarkStart w:id="3141" w:name="_Toc38443610"/>
      <w:bookmarkStart w:id="3142" w:name="_Toc38443940"/>
      <w:bookmarkStart w:id="3143" w:name="_Toc38438408"/>
      <w:bookmarkStart w:id="3144" w:name="_Toc38438745"/>
      <w:bookmarkStart w:id="3145" w:name="_Toc38439082"/>
      <w:bookmarkStart w:id="3146" w:name="_Toc38439419"/>
      <w:bookmarkStart w:id="3147" w:name="_Toc38439756"/>
      <w:bookmarkStart w:id="3148" w:name="_Toc38440093"/>
      <w:bookmarkStart w:id="3149" w:name="_Toc38440430"/>
      <w:bookmarkStart w:id="3150" w:name="_Toc38440962"/>
      <w:bookmarkStart w:id="3151" w:name="_Toc38441294"/>
      <w:bookmarkStart w:id="3152" w:name="_Toc38441626"/>
      <w:bookmarkStart w:id="3153" w:name="_Toc38441954"/>
      <w:bookmarkStart w:id="3154" w:name="_Toc38442286"/>
      <w:bookmarkStart w:id="3155" w:name="_Toc38442618"/>
      <w:bookmarkStart w:id="3156" w:name="_Toc38442949"/>
      <w:bookmarkStart w:id="3157" w:name="_Toc38443280"/>
      <w:bookmarkStart w:id="3158" w:name="_Toc38443611"/>
      <w:bookmarkStart w:id="3159" w:name="_Toc38443941"/>
      <w:bookmarkStart w:id="3160" w:name="_Toc38438409"/>
      <w:bookmarkStart w:id="3161" w:name="_Toc38438746"/>
      <w:bookmarkStart w:id="3162" w:name="_Toc38439083"/>
      <w:bookmarkStart w:id="3163" w:name="_Toc38439420"/>
      <w:bookmarkStart w:id="3164" w:name="_Toc38439757"/>
      <w:bookmarkStart w:id="3165" w:name="_Toc38440094"/>
      <w:bookmarkStart w:id="3166" w:name="_Toc38440431"/>
      <w:bookmarkStart w:id="3167" w:name="_Toc38440963"/>
      <w:bookmarkStart w:id="3168" w:name="_Toc38441295"/>
      <w:bookmarkStart w:id="3169" w:name="_Toc38441627"/>
      <w:bookmarkStart w:id="3170" w:name="_Toc38441955"/>
      <w:bookmarkStart w:id="3171" w:name="_Toc38442287"/>
      <w:bookmarkStart w:id="3172" w:name="_Toc38442619"/>
      <w:bookmarkStart w:id="3173" w:name="_Toc38442950"/>
      <w:bookmarkStart w:id="3174" w:name="_Toc38443281"/>
      <w:bookmarkStart w:id="3175" w:name="_Toc38443612"/>
      <w:bookmarkStart w:id="3176" w:name="_Toc38443942"/>
      <w:bookmarkStart w:id="3177" w:name="_Toc38438410"/>
      <w:bookmarkStart w:id="3178" w:name="_Toc38438747"/>
      <w:bookmarkStart w:id="3179" w:name="_Toc38439084"/>
      <w:bookmarkStart w:id="3180" w:name="_Toc38439421"/>
      <w:bookmarkStart w:id="3181" w:name="_Toc38439758"/>
      <w:bookmarkStart w:id="3182" w:name="_Toc38440095"/>
      <w:bookmarkStart w:id="3183" w:name="_Toc38440432"/>
      <w:bookmarkStart w:id="3184" w:name="_Toc38440964"/>
      <w:bookmarkStart w:id="3185" w:name="_Toc38441296"/>
      <w:bookmarkStart w:id="3186" w:name="_Toc38441628"/>
      <w:bookmarkStart w:id="3187" w:name="_Toc38441956"/>
      <w:bookmarkStart w:id="3188" w:name="_Toc38442288"/>
      <w:bookmarkStart w:id="3189" w:name="_Toc38442620"/>
      <w:bookmarkStart w:id="3190" w:name="_Toc38442951"/>
      <w:bookmarkStart w:id="3191" w:name="_Toc38443282"/>
      <w:bookmarkStart w:id="3192" w:name="_Toc38443613"/>
      <w:bookmarkStart w:id="3193" w:name="_Toc38443943"/>
      <w:bookmarkStart w:id="3194" w:name="_Toc38438411"/>
      <w:bookmarkStart w:id="3195" w:name="_Toc38438748"/>
      <w:bookmarkStart w:id="3196" w:name="_Toc38439085"/>
      <w:bookmarkStart w:id="3197" w:name="_Toc38439422"/>
      <w:bookmarkStart w:id="3198" w:name="_Toc38439759"/>
      <w:bookmarkStart w:id="3199" w:name="_Toc38440096"/>
      <w:bookmarkStart w:id="3200" w:name="_Toc38440433"/>
      <w:bookmarkStart w:id="3201" w:name="_Toc38440965"/>
      <w:bookmarkStart w:id="3202" w:name="_Toc38441297"/>
      <w:bookmarkStart w:id="3203" w:name="_Toc38441629"/>
      <w:bookmarkStart w:id="3204" w:name="_Toc38441957"/>
      <w:bookmarkStart w:id="3205" w:name="_Toc38442289"/>
      <w:bookmarkStart w:id="3206" w:name="_Toc38442621"/>
      <w:bookmarkStart w:id="3207" w:name="_Toc38442952"/>
      <w:bookmarkStart w:id="3208" w:name="_Toc38443283"/>
      <w:bookmarkStart w:id="3209" w:name="_Toc38443614"/>
      <w:bookmarkStart w:id="3210" w:name="_Toc38443944"/>
      <w:bookmarkStart w:id="3211" w:name="_Toc38438412"/>
      <w:bookmarkStart w:id="3212" w:name="_Toc38438749"/>
      <w:bookmarkStart w:id="3213" w:name="_Toc38439086"/>
      <w:bookmarkStart w:id="3214" w:name="_Toc38439423"/>
      <w:bookmarkStart w:id="3215" w:name="_Toc38439760"/>
      <w:bookmarkStart w:id="3216" w:name="_Toc38440097"/>
      <w:bookmarkStart w:id="3217" w:name="_Toc38440434"/>
      <w:bookmarkStart w:id="3218" w:name="_Toc38440966"/>
      <w:bookmarkStart w:id="3219" w:name="_Toc38441298"/>
      <w:bookmarkStart w:id="3220" w:name="_Toc38441630"/>
      <w:bookmarkStart w:id="3221" w:name="_Toc38441958"/>
      <w:bookmarkStart w:id="3222" w:name="_Toc38442290"/>
      <w:bookmarkStart w:id="3223" w:name="_Toc38442622"/>
      <w:bookmarkStart w:id="3224" w:name="_Toc38442953"/>
      <w:bookmarkStart w:id="3225" w:name="_Toc38443284"/>
      <w:bookmarkStart w:id="3226" w:name="_Toc38443615"/>
      <w:bookmarkStart w:id="3227" w:name="_Toc38443945"/>
      <w:bookmarkStart w:id="3228" w:name="_Toc38438413"/>
      <w:bookmarkStart w:id="3229" w:name="_Toc38438750"/>
      <w:bookmarkStart w:id="3230" w:name="_Toc38439087"/>
      <w:bookmarkStart w:id="3231" w:name="_Toc38439424"/>
      <w:bookmarkStart w:id="3232" w:name="_Toc38439761"/>
      <w:bookmarkStart w:id="3233" w:name="_Toc38440098"/>
      <w:bookmarkStart w:id="3234" w:name="_Toc38440435"/>
      <w:bookmarkStart w:id="3235" w:name="_Toc38440967"/>
      <w:bookmarkStart w:id="3236" w:name="_Toc38441299"/>
      <w:bookmarkStart w:id="3237" w:name="_Toc38441631"/>
      <w:bookmarkStart w:id="3238" w:name="_Toc38441959"/>
      <w:bookmarkStart w:id="3239" w:name="_Toc38442291"/>
      <w:bookmarkStart w:id="3240" w:name="_Toc38442623"/>
      <w:bookmarkStart w:id="3241" w:name="_Toc38442954"/>
      <w:bookmarkStart w:id="3242" w:name="_Toc38443285"/>
      <w:bookmarkStart w:id="3243" w:name="_Toc38443616"/>
      <w:bookmarkStart w:id="3244" w:name="_Toc38443946"/>
      <w:bookmarkStart w:id="3245" w:name="_Toc38438414"/>
      <w:bookmarkStart w:id="3246" w:name="_Toc38438751"/>
      <w:bookmarkStart w:id="3247" w:name="_Toc38439088"/>
      <w:bookmarkStart w:id="3248" w:name="_Toc38439425"/>
      <w:bookmarkStart w:id="3249" w:name="_Toc38439762"/>
      <w:bookmarkStart w:id="3250" w:name="_Toc38440099"/>
      <w:bookmarkStart w:id="3251" w:name="_Toc38440436"/>
      <w:bookmarkStart w:id="3252" w:name="_Toc38440968"/>
      <w:bookmarkStart w:id="3253" w:name="_Toc38441300"/>
      <w:bookmarkStart w:id="3254" w:name="_Toc38441632"/>
      <w:bookmarkStart w:id="3255" w:name="_Toc38441960"/>
      <w:bookmarkStart w:id="3256" w:name="_Toc38442292"/>
      <w:bookmarkStart w:id="3257" w:name="_Toc38442624"/>
      <w:bookmarkStart w:id="3258" w:name="_Toc38442955"/>
      <w:bookmarkStart w:id="3259" w:name="_Toc38443286"/>
      <w:bookmarkStart w:id="3260" w:name="_Toc38443617"/>
      <w:bookmarkStart w:id="3261" w:name="_Toc38443947"/>
      <w:bookmarkStart w:id="3262" w:name="_Toc38438415"/>
      <w:bookmarkStart w:id="3263" w:name="_Toc38438752"/>
      <w:bookmarkStart w:id="3264" w:name="_Toc38439089"/>
      <w:bookmarkStart w:id="3265" w:name="_Toc38439426"/>
      <w:bookmarkStart w:id="3266" w:name="_Toc38439763"/>
      <w:bookmarkStart w:id="3267" w:name="_Toc38440100"/>
      <w:bookmarkStart w:id="3268" w:name="_Toc38440437"/>
      <w:bookmarkStart w:id="3269" w:name="_Toc38440969"/>
      <w:bookmarkStart w:id="3270" w:name="_Toc38441301"/>
      <w:bookmarkStart w:id="3271" w:name="_Toc38441633"/>
      <w:bookmarkStart w:id="3272" w:name="_Toc38441961"/>
      <w:bookmarkStart w:id="3273" w:name="_Toc38442293"/>
      <w:bookmarkStart w:id="3274" w:name="_Toc38442625"/>
      <w:bookmarkStart w:id="3275" w:name="_Toc38442956"/>
      <w:bookmarkStart w:id="3276" w:name="_Toc38443287"/>
      <w:bookmarkStart w:id="3277" w:name="_Toc38443618"/>
      <w:bookmarkStart w:id="3278" w:name="_Toc38443948"/>
      <w:bookmarkStart w:id="3279" w:name="_Toc38438416"/>
      <w:bookmarkStart w:id="3280" w:name="_Toc38438753"/>
      <w:bookmarkStart w:id="3281" w:name="_Toc38439090"/>
      <w:bookmarkStart w:id="3282" w:name="_Toc38439427"/>
      <w:bookmarkStart w:id="3283" w:name="_Toc38439764"/>
      <w:bookmarkStart w:id="3284" w:name="_Toc38440101"/>
      <w:bookmarkStart w:id="3285" w:name="_Toc38440438"/>
      <w:bookmarkStart w:id="3286" w:name="_Toc38440970"/>
      <w:bookmarkStart w:id="3287" w:name="_Toc38441302"/>
      <w:bookmarkStart w:id="3288" w:name="_Toc38441634"/>
      <w:bookmarkStart w:id="3289" w:name="_Toc38441962"/>
      <w:bookmarkStart w:id="3290" w:name="_Toc38442294"/>
      <w:bookmarkStart w:id="3291" w:name="_Toc38442626"/>
      <w:bookmarkStart w:id="3292" w:name="_Toc38442957"/>
      <w:bookmarkStart w:id="3293" w:name="_Toc38443288"/>
      <w:bookmarkStart w:id="3294" w:name="_Toc38443619"/>
      <w:bookmarkStart w:id="3295" w:name="_Toc38443949"/>
      <w:bookmarkStart w:id="3296" w:name="_Toc38438417"/>
      <w:bookmarkStart w:id="3297" w:name="_Toc38438754"/>
      <w:bookmarkStart w:id="3298" w:name="_Toc38439091"/>
      <w:bookmarkStart w:id="3299" w:name="_Toc38439428"/>
      <w:bookmarkStart w:id="3300" w:name="_Toc38439765"/>
      <w:bookmarkStart w:id="3301" w:name="_Toc38440102"/>
      <w:bookmarkStart w:id="3302" w:name="_Toc38440439"/>
      <w:bookmarkStart w:id="3303" w:name="_Toc38440971"/>
      <w:bookmarkStart w:id="3304" w:name="_Toc38441303"/>
      <w:bookmarkStart w:id="3305" w:name="_Toc38441635"/>
      <w:bookmarkStart w:id="3306" w:name="_Toc38441963"/>
      <w:bookmarkStart w:id="3307" w:name="_Toc38442295"/>
      <w:bookmarkStart w:id="3308" w:name="_Toc38442627"/>
      <w:bookmarkStart w:id="3309" w:name="_Toc38442958"/>
      <w:bookmarkStart w:id="3310" w:name="_Toc38443289"/>
      <w:bookmarkStart w:id="3311" w:name="_Toc38443620"/>
      <w:bookmarkStart w:id="3312" w:name="_Toc38443950"/>
      <w:bookmarkStart w:id="3313" w:name="_Toc38438418"/>
      <w:bookmarkStart w:id="3314" w:name="_Toc38438755"/>
      <w:bookmarkStart w:id="3315" w:name="_Toc38439092"/>
      <w:bookmarkStart w:id="3316" w:name="_Toc38439429"/>
      <w:bookmarkStart w:id="3317" w:name="_Toc38439766"/>
      <w:bookmarkStart w:id="3318" w:name="_Toc38440103"/>
      <w:bookmarkStart w:id="3319" w:name="_Toc38440440"/>
      <w:bookmarkStart w:id="3320" w:name="_Toc38440972"/>
      <w:bookmarkStart w:id="3321" w:name="_Toc38441304"/>
      <w:bookmarkStart w:id="3322" w:name="_Toc38441636"/>
      <w:bookmarkStart w:id="3323" w:name="_Toc38441964"/>
      <w:bookmarkStart w:id="3324" w:name="_Toc38442296"/>
      <w:bookmarkStart w:id="3325" w:name="_Toc38442628"/>
      <w:bookmarkStart w:id="3326" w:name="_Toc38442959"/>
      <w:bookmarkStart w:id="3327" w:name="_Toc38443290"/>
      <w:bookmarkStart w:id="3328" w:name="_Toc38443621"/>
      <w:bookmarkStart w:id="3329" w:name="_Toc38443951"/>
      <w:bookmarkStart w:id="3330" w:name="_Toc38438419"/>
      <w:bookmarkStart w:id="3331" w:name="_Toc38438756"/>
      <w:bookmarkStart w:id="3332" w:name="_Toc38439093"/>
      <w:bookmarkStart w:id="3333" w:name="_Toc38439430"/>
      <w:bookmarkStart w:id="3334" w:name="_Toc38439767"/>
      <w:bookmarkStart w:id="3335" w:name="_Toc38440104"/>
      <w:bookmarkStart w:id="3336" w:name="_Toc38440441"/>
      <w:bookmarkStart w:id="3337" w:name="_Toc38440973"/>
      <w:bookmarkStart w:id="3338" w:name="_Toc38441305"/>
      <w:bookmarkStart w:id="3339" w:name="_Toc38441637"/>
      <w:bookmarkStart w:id="3340" w:name="_Toc38441965"/>
      <w:bookmarkStart w:id="3341" w:name="_Toc38442297"/>
      <w:bookmarkStart w:id="3342" w:name="_Toc38442629"/>
      <w:bookmarkStart w:id="3343" w:name="_Toc38442960"/>
      <w:bookmarkStart w:id="3344" w:name="_Toc38443291"/>
      <w:bookmarkStart w:id="3345" w:name="_Toc38443622"/>
      <w:bookmarkStart w:id="3346" w:name="_Toc38443952"/>
      <w:bookmarkStart w:id="3347" w:name="_Toc38438420"/>
      <w:bookmarkStart w:id="3348" w:name="_Toc38438757"/>
      <w:bookmarkStart w:id="3349" w:name="_Toc38439094"/>
      <w:bookmarkStart w:id="3350" w:name="_Toc38439431"/>
      <w:bookmarkStart w:id="3351" w:name="_Toc38439768"/>
      <w:bookmarkStart w:id="3352" w:name="_Toc38440105"/>
      <w:bookmarkStart w:id="3353" w:name="_Toc38440442"/>
      <w:bookmarkStart w:id="3354" w:name="_Toc38440974"/>
      <w:bookmarkStart w:id="3355" w:name="_Toc38441306"/>
      <w:bookmarkStart w:id="3356" w:name="_Toc38441638"/>
      <w:bookmarkStart w:id="3357" w:name="_Toc38441966"/>
      <w:bookmarkStart w:id="3358" w:name="_Toc38442298"/>
      <w:bookmarkStart w:id="3359" w:name="_Toc38442630"/>
      <w:bookmarkStart w:id="3360" w:name="_Toc38442961"/>
      <w:bookmarkStart w:id="3361" w:name="_Toc38443292"/>
      <w:bookmarkStart w:id="3362" w:name="_Toc38443623"/>
      <w:bookmarkStart w:id="3363" w:name="_Toc38443953"/>
      <w:bookmarkStart w:id="3364" w:name="_Toc38438421"/>
      <w:bookmarkStart w:id="3365" w:name="_Toc38438758"/>
      <w:bookmarkStart w:id="3366" w:name="_Toc38439095"/>
      <w:bookmarkStart w:id="3367" w:name="_Toc38439432"/>
      <w:bookmarkStart w:id="3368" w:name="_Toc38439769"/>
      <w:bookmarkStart w:id="3369" w:name="_Toc38440106"/>
      <w:bookmarkStart w:id="3370" w:name="_Toc38440443"/>
      <w:bookmarkStart w:id="3371" w:name="_Toc38440975"/>
      <w:bookmarkStart w:id="3372" w:name="_Toc38441307"/>
      <w:bookmarkStart w:id="3373" w:name="_Toc38441639"/>
      <w:bookmarkStart w:id="3374" w:name="_Toc38441967"/>
      <w:bookmarkStart w:id="3375" w:name="_Toc38442299"/>
      <w:bookmarkStart w:id="3376" w:name="_Toc38442631"/>
      <w:bookmarkStart w:id="3377" w:name="_Toc38442962"/>
      <w:bookmarkStart w:id="3378" w:name="_Toc38443293"/>
      <w:bookmarkStart w:id="3379" w:name="_Toc38443624"/>
      <w:bookmarkStart w:id="3380" w:name="_Toc38443954"/>
      <w:bookmarkStart w:id="3381" w:name="_Toc38438422"/>
      <w:bookmarkStart w:id="3382" w:name="_Toc38438759"/>
      <w:bookmarkStart w:id="3383" w:name="_Toc38439096"/>
      <w:bookmarkStart w:id="3384" w:name="_Toc38439433"/>
      <w:bookmarkStart w:id="3385" w:name="_Toc38439770"/>
      <w:bookmarkStart w:id="3386" w:name="_Toc38440107"/>
      <w:bookmarkStart w:id="3387" w:name="_Toc38440444"/>
      <w:bookmarkStart w:id="3388" w:name="_Toc38440976"/>
      <w:bookmarkStart w:id="3389" w:name="_Toc38441308"/>
      <w:bookmarkStart w:id="3390" w:name="_Toc38441640"/>
      <w:bookmarkStart w:id="3391" w:name="_Toc38441968"/>
      <w:bookmarkStart w:id="3392" w:name="_Toc38442300"/>
      <w:bookmarkStart w:id="3393" w:name="_Toc38442632"/>
      <w:bookmarkStart w:id="3394" w:name="_Toc38442963"/>
      <w:bookmarkStart w:id="3395" w:name="_Toc38443294"/>
      <w:bookmarkStart w:id="3396" w:name="_Toc38443625"/>
      <w:bookmarkStart w:id="3397" w:name="_Toc38443955"/>
      <w:bookmarkStart w:id="3398" w:name="_Toc38438423"/>
      <w:bookmarkStart w:id="3399" w:name="_Toc38438760"/>
      <w:bookmarkStart w:id="3400" w:name="_Toc38439097"/>
      <w:bookmarkStart w:id="3401" w:name="_Toc38439434"/>
      <w:bookmarkStart w:id="3402" w:name="_Toc38439771"/>
      <w:bookmarkStart w:id="3403" w:name="_Toc38440108"/>
      <w:bookmarkStart w:id="3404" w:name="_Toc38440445"/>
      <w:bookmarkStart w:id="3405" w:name="_Toc38440977"/>
      <w:bookmarkStart w:id="3406" w:name="_Toc38441309"/>
      <w:bookmarkStart w:id="3407" w:name="_Toc38441641"/>
      <w:bookmarkStart w:id="3408" w:name="_Toc38441969"/>
      <w:bookmarkStart w:id="3409" w:name="_Toc38442301"/>
      <w:bookmarkStart w:id="3410" w:name="_Toc38442633"/>
      <w:bookmarkStart w:id="3411" w:name="_Toc38442964"/>
      <w:bookmarkStart w:id="3412" w:name="_Toc38443295"/>
      <w:bookmarkStart w:id="3413" w:name="_Toc38443626"/>
      <w:bookmarkStart w:id="3414" w:name="_Toc38443956"/>
      <w:bookmarkStart w:id="3415" w:name="_Toc38438424"/>
      <w:bookmarkStart w:id="3416" w:name="_Toc38438761"/>
      <w:bookmarkStart w:id="3417" w:name="_Toc38439098"/>
      <w:bookmarkStart w:id="3418" w:name="_Toc38439435"/>
      <w:bookmarkStart w:id="3419" w:name="_Toc38439772"/>
      <w:bookmarkStart w:id="3420" w:name="_Toc38440109"/>
      <w:bookmarkStart w:id="3421" w:name="_Toc38440446"/>
      <w:bookmarkStart w:id="3422" w:name="_Toc38440978"/>
      <w:bookmarkStart w:id="3423" w:name="_Toc38441310"/>
      <w:bookmarkStart w:id="3424" w:name="_Toc38441642"/>
      <w:bookmarkStart w:id="3425" w:name="_Toc38441970"/>
      <w:bookmarkStart w:id="3426" w:name="_Toc38442302"/>
      <w:bookmarkStart w:id="3427" w:name="_Toc38442634"/>
      <w:bookmarkStart w:id="3428" w:name="_Toc38442965"/>
      <w:bookmarkStart w:id="3429" w:name="_Toc38443296"/>
      <w:bookmarkStart w:id="3430" w:name="_Toc38443627"/>
      <w:bookmarkStart w:id="3431" w:name="_Toc38443957"/>
      <w:bookmarkStart w:id="3432" w:name="_Toc38438425"/>
      <w:bookmarkStart w:id="3433" w:name="_Toc38438762"/>
      <w:bookmarkStart w:id="3434" w:name="_Toc38439099"/>
      <w:bookmarkStart w:id="3435" w:name="_Toc38439436"/>
      <w:bookmarkStart w:id="3436" w:name="_Toc38439773"/>
      <w:bookmarkStart w:id="3437" w:name="_Toc38440110"/>
      <w:bookmarkStart w:id="3438" w:name="_Toc38440447"/>
      <w:bookmarkStart w:id="3439" w:name="_Toc38440979"/>
      <w:bookmarkStart w:id="3440" w:name="_Toc38441311"/>
      <w:bookmarkStart w:id="3441" w:name="_Toc38441643"/>
      <w:bookmarkStart w:id="3442" w:name="_Toc38441971"/>
      <w:bookmarkStart w:id="3443" w:name="_Toc38442303"/>
      <w:bookmarkStart w:id="3444" w:name="_Toc38442635"/>
      <w:bookmarkStart w:id="3445" w:name="_Toc38442966"/>
      <w:bookmarkStart w:id="3446" w:name="_Toc38443297"/>
      <w:bookmarkStart w:id="3447" w:name="_Toc38443628"/>
      <w:bookmarkStart w:id="3448" w:name="_Toc38443958"/>
      <w:bookmarkStart w:id="3449" w:name="_Toc38438426"/>
      <w:bookmarkStart w:id="3450" w:name="_Toc38438763"/>
      <w:bookmarkStart w:id="3451" w:name="_Toc38439100"/>
      <w:bookmarkStart w:id="3452" w:name="_Toc38439437"/>
      <w:bookmarkStart w:id="3453" w:name="_Toc38439774"/>
      <w:bookmarkStart w:id="3454" w:name="_Toc38440111"/>
      <w:bookmarkStart w:id="3455" w:name="_Toc38440448"/>
      <w:bookmarkStart w:id="3456" w:name="_Toc38440980"/>
      <w:bookmarkStart w:id="3457" w:name="_Toc38441312"/>
      <w:bookmarkStart w:id="3458" w:name="_Toc38441644"/>
      <w:bookmarkStart w:id="3459" w:name="_Toc38441972"/>
      <w:bookmarkStart w:id="3460" w:name="_Toc38442304"/>
      <w:bookmarkStart w:id="3461" w:name="_Toc38442636"/>
      <w:bookmarkStart w:id="3462" w:name="_Toc38442967"/>
      <w:bookmarkStart w:id="3463" w:name="_Toc38443298"/>
      <w:bookmarkStart w:id="3464" w:name="_Toc38443629"/>
      <w:bookmarkStart w:id="3465" w:name="_Toc38443959"/>
      <w:bookmarkStart w:id="3466" w:name="_Toc38438427"/>
      <w:bookmarkStart w:id="3467" w:name="_Toc38438764"/>
      <w:bookmarkStart w:id="3468" w:name="_Toc38439101"/>
      <w:bookmarkStart w:id="3469" w:name="_Toc38439438"/>
      <w:bookmarkStart w:id="3470" w:name="_Toc38439775"/>
      <w:bookmarkStart w:id="3471" w:name="_Toc38440112"/>
      <w:bookmarkStart w:id="3472" w:name="_Toc38440449"/>
      <w:bookmarkStart w:id="3473" w:name="_Toc38440981"/>
      <w:bookmarkStart w:id="3474" w:name="_Toc38441313"/>
      <w:bookmarkStart w:id="3475" w:name="_Toc38441645"/>
      <w:bookmarkStart w:id="3476" w:name="_Toc38441973"/>
      <w:bookmarkStart w:id="3477" w:name="_Toc38442305"/>
      <w:bookmarkStart w:id="3478" w:name="_Toc38442637"/>
      <w:bookmarkStart w:id="3479" w:name="_Toc38442968"/>
      <w:bookmarkStart w:id="3480" w:name="_Toc38443299"/>
      <w:bookmarkStart w:id="3481" w:name="_Toc38443630"/>
      <w:bookmarkStart w:id="3482" w:name="_Toc38443960"/>
      <w:bookmarkStart w:id="3483" w:name="_Toc38438428"/>
      <w:bookmarkStart w:id="3484" w:name="_Toc38438765"/>
      <w:bookmarkStart w:id="3485" w:name="_Toc38439102"/>
      <w:bookmarkStart w:id="3486" w:name="_Toc38439439"/>
      <w:bookmarkStart w:id="3487" w:name="_Toc38439776"/>
      <w:bookmarkStart w:id="3488" w:name="_Toc38440113"/>
      <w:bookmarkStart w:id="3489" w:name="_Toc38440450"/>
      <w:bookmarkStart w:id="3490" w:name="_Toc38440982"/>
      <w:bookmarkStart w:id="3491" w:name="_Toc38441314"/>
      <w:bookmarkStart w:id="3492" w:name="_Toc38441646"/>
      <w:bookmarkStart w:id="3493" w:name="_Toc38441974"/>
      <w:bookmarkStart w:id="3494" w:name="_Toc38442306"/>
      <w:bookmarkStart w:id="3495" w:name="_Toc38442638"/>
      <w:bookmarkStart w:id="3496" w:name="_Toc38442969"/>
      <w:bookmarkStart w:id="3497" w:name="_Toc38443300"/>
      <w:bookmarkStart w:id="3498" w:name="_Toc38443631"/>
      <w:bookmarkStart w:id="3499" w:name="_Toc38443961"/>
      <w:bookmarkStart w:id="3500" w:name="_Toc38438429"/>
      <w:bookmarkStart w:id="3501" w:name="_Toc38438766"/>
      <w:bookmarkStart w:id="3502" w:name="_Toc38439103"/>
      <w:bookmarkStart w:id="3503" w:name="_Toc38439440"/>
      <w:bookmarkStart w:id="3504" w:name="_Toc38439777"/>
      <w:bookmarkStart w:id="3505" w:name="_Toc38440114"/>
      <w:bookmarkStart w:id="3506" w:name="_Toc38440451"/>
      <w:bookmarkStart w:id="3507" w:name="_Toc38440983"/>
      <w:bookmarkStart w:id="3508" w:name="_Toc38441315"/>
      <w:bookmarkStart w:id="3509" w:name="_Toc38441647"/>
      <w:bookmarkStart w:id="3510" w:name="_Toc38441975"/>
      <w:bookmarkStart w:id="3511" w:name="_Toc38442307"/>
      <w:bookmarkStart w:id="3512" w:name="_Toc38442639"/>
      <w:bookmarkStart w:id="3513" w:name="_Toc38442970"/>
      <w:bookmarkStart w:id="3514" w:name="_Toc38443301"/>
      <w:bookmarkStart w:id="3515" w:name="_Toc38443632"/>
      <w:bookmarkStart w:id="3516" w:name="_Toc38443962"/>
      <w:bookmarkStart w:id="3517" w:name="_Toc38438430"/>
      <w:bookmarkStart w:id="3518" w:name="_Toc38438767"/>
      <w:bookmarkStart w:id="3519" w:name="_Toc38439104"/>
      <w:bookmarkStart w:id="3520" w:name="_Toc38439441"/>
      <w:bookmarkStart w:id="3521" w:name="_Toc38439778"/>
      <w:bookmarkStart w:id="3522" w:name="_Toc38440115"/>
      <w:bookmarkStart w:id="3523" w:name="_Toc38440452"/>
      <w:bookmarkStart w:id="3524" w:name="_Toc38440984"/>
      <w:bookmarkStart w:id="3525" w:name="_Toc38441316"/>
      <w:bookmarkStart w:id="3526" w:name="_Toc38441648"/>
      <w:bookmarkStart w:id="3527" w:name="_Toc38441976"/>
      <w:bookmarkStart w:id="3528" w:name="_Toc38442308"/>
      <w:bookmarkStart w:id="3529" w:name="_Toc38442640"/>
      <w:bookmarkStart w:id="3530" w:name="_Toc38442971"/>
      <w:bookmarkStart w:id="3531" w:name="_Toc38443302"/>
      <w:bookmarkStart w:id="3532" w:name="_Toc38443633"/>
      <w:bookmarkStart w:id="3533" w:name="_Toc38443963"/>
      <w:bookmarkStart w:id="3534" w:name="_Toc38438431"/>
      <w:bookmarkStart w:id="3535" w:name="_Toc38438768"/>
      <w:bookmarkStart w:id="3536" w:name="_Toc38439105"/>
      <w:bookmarkStart w:id="3537" w:name="_Toc38439442"/>
      <w:bookmarkStart w:id="3538" w:name="_Toc38439779"/>
      <w:bookmarkStart w:id="3539" w:name="_Toc38440116"/>
      <w:bookmarkStart w:id="3540" w:name="_Toc38440453"/>
      <w:bookmarkStart w:id="3541" w:name="_Toc38440985"/>
      <w:bookmarkStart w:id="3542" w:name="_Toc38441317"/>
      <w:bookmarkStart w:id="3543" w:name="_Toc38441649"/>
      <w:bookmarkStart w:id="3544" w:name="_Toc38441977"/>
      <w:bookmarkStart w:id="3545" w:name="_Toc38442309"/>
      <w:bookmarkStart w:id="3546" w:name="_Toc38442641"/>
      <w:bookmarkStart w:id="3547" w:name="_Toc38442972"/>
      <w:bookmarkStart w:id="3548" w:name="_Toc38443303"/>
      <w:bookmarkStart w:id="3549" w:name="_Toc38443634"/>
      <w:bookmarkStart w:id="3550" w:name="_Toc38443964"/>
      <w:bookmarkStart w:id="3551" w:name="_Toc38438432"/>
      <w:bookmarkStart w:id="3552" w:name="_Toc38438769"/>
      <w:bookmarkStart w:id="3553" w:name="_Toc38439106"/>
      <w:bookmarkStart w:id="3554" w:name="_Toc38439443"/>
      <w:bookmarkStart w:id="3555" w:name="_Toc38439780"/>
      <w:bookmarkStart w:id="3556" w:name="_Toc38440117"/>
      <w:bookmarkStart w:id="3557" w:name="_Toc38440454"/>
      <w:bookmarkStart w:id="3558" w:name="_Toc38440986"/>
      <w:bookmarkStart w:id="3559" w:name="_Toc38441318"/>
      <w:bookmarkStart w:id="3560" w:name="_Toc38441650"/>
      <w:bookmarkStart w:id="3561" w:name="_Toc38441978"/>
      <w:bookmarkStart w:id="3562" w:name="_Toc38442310"/>
      <w:bookmarkStart w:id="3563" w:name="_Toc38442642"/>
      <w:bookmarkStart w:id="3564" w:name="_Toc38442973"/>
      <w:bookmarkStart w:id="3565" w:name="_Toc38443304"/>
      <w:bookmarkStart w:id="3566" w:name="_Toc38443635"/>
      <w:bookmarkStart w:id="3567" w:name="_Toc38443965"/>
      <w:bookmarkStart w:id="3568" w:name="_Toc38438433"/>
      <w:bookmarkStart w:id="3569" w:name="_Toc38438770"/>
      <w:bookmarkStart w:id="3570" w:name="_Toc38439107"/>
      <w:bookmarkStart w:id="3571" w:name="_Toc38439444"/>
      <w:bookmarkStart w:id="3572" w:name="_Toc38439781"/>
      <w:bookmarkStart w:id="3573" w:name="_Toc38440118"/>
      <w:bookmarkStart w:id="3574" w:name="_Toc38440455"/>
      <w:bookmarkStart w:id="3575" w:name="_Toc38440987"/>
      <w:bookmarkStart w:id="3576" w:name="_Toc38441319"/>
      <w:bookmarkStart w:id="3577" w:name="_Toc38441651"/>
      <w:bookmarkStart w:id="3578" w:name="_Toc38441979"/>
      <w:bookmarkStart w:id="3579" w:name="_Toc38442311"/>
      <w:bookmarkStart w:id="3580" w:name="_Toc38442643"/>
      <w:bookmarkStart w:id="3581" w:name="_Toc38442974"/>
      <w:bookmarkStart w:id="3582" w:name="_Toc38443305"/>
      <w:bookmarkStart w:id="3583" w:name="_Toc38443636"/>
      <w:bookmarkStart w:id="3584" w:name="_Toc38443966"/>
      <w:bookmarkStart w:id="3585" w:name="_Toc38438434"/>
      <w:bookmarkStart w:id="3586" w:name="_Toc38438771"/>
      <w:bookmarkStart w:id="3587" w:name="_Toc38439108"/>
      <w:bookmarkStart w:id="3588" w:name="_Toc38439445"/>
      <w:bookmarkStart w:id="3589" w:name="_Toc38439782"/>
      <w:bookmarkStart w:id="3590" w:name="_Toc38440119"/>
      <w:bookmarkStart w:id="3591" w:name="_Toc38440456"/>
      <w:bookmarkStart w:id="3592" w:name="_Toc38440988"/>
      <w:bookmarkStart w:id="3593" w:name="_Toc38441320"/>
      <w:bookmarkStart w:id="3594" w:name="_Toc38441652"/>
      <w:bookmarkStart w:id="3595" w:name="_Toc38441980"/>
      <w:bookmarkStart w:id="3596" w:name="_Toc38442312"/>
      <w:bookmarkStart w:id="3597" w:name="_Toc38442644"/>
      <w:bookmarkStart w:id="3598" w:name="_Toc38442975"/>
      <w:bookmarkStart w:id="3599" w:name="_Toc38443306"/>
      <w:bookmarkStart w:id="3600" w:name="_Toc38443637"/>
      <w:bookmarkStart w:id="3601" w:name="_Toc38443967"/>
      <w:bookmarkStart w:id="3602" w:name="_Toc38438435"/>
      <w:bookmarkStart w:id="3603" w:name="_Toc38438772"/>
      <w:bookmarkStart w:id="3604" w:name="_Toc38439109"/>
      <w:bookmarkStart w:id="3605" w:name="_Toc38439446"/>
      <w:bookmarkStart w:id="3606" w:name="_Toc38439783"/>
      <w:bookmarkStart w:id="3607" w:name="_Toc38440120"/>
      <w:bookmarkStart w:id="3608" w:name="_Toc38440457"/>
      <w:bookmarkStart w:id="3609" w:name="_Toc38440989"/>
      <w:bookmarkStart w:id="3610" w:name="_Toc38441321"/>
      <w:bookmarkStart w:id="3611" w:name="_Toc38441653"/>
      <w:bookmarkStart w:id="3612" w:name="_Toc38441981"/>
      <w:bookmarkStart w:id="3613" w:name="_Toc38442313"/>
      <w:bookmarkStart w:id="3614" w:name="_Toc38442645"/>
      <w:bookmarkStart w:id="3615" w:name="_Toc38442976"/>
      <w:bookmarkStart w:id="3616" w:name="_Toc38443307"/>
      <w:bookmarkStart w:id="3617" w:name="_Toc38443638"/>
      <w:bookmarkStart w:id="3618" w:name="_Toc38443968"/>
      <w:bookmarkStart w:id="3619" w:name="_Toc38438436"/>
      <w:bookmarkStart w:id="3620" w:name="_Toc38438773"/>
      <w:bookmarkStart w:id="3621" w:name="_Toc38439110"/>
      <w:bookmarkStart w:id="3622" w:name="_Toc38439447"/>
      <w:bookmarkStart w:id="3623" w:name="_Toc38439784"/>
      <w:bookmarkStart w:id="3624" w:name="_Toc38440121"/>
      <w:bookmarkStart w:id="3625" w:name="_Toc38440458"/>
      <w:bookmarkStart w:id="3626" w:name="_Toc38440990"/>
      <w:bookmarkStart w:id="3627" w:name="_Toc38441322"/>
      <w:bookmarkStart w:id="3628" w:name="_Toc38441654"/>
      <w:bookmarkStart w:id="3629" w:name="_Toc38441982"/>
      <w:bookmarkStart w:id="3630" w:name="_Toc38442314"/>
      <w:bookmarkStart w:id="3631" w:name="_Toc38442646"/>
      <w:bookmarkStart w:id="3632" w:name="_Toc38442977"/>
      <w:bookmarkStart w:id="3633" w:name="_Toc38443308"/>
      <w:bookmarkStart w:id="3634" w:name="_Toc38443639"/>
      <w:bookmarkStart w:id="3635" w:name="_Toc38443969"/>
      <w:bookmarkStart w:id="3636" w:name="_Toc38438437"/>
      <w:bookmarkStart w:id="3637" w:name="_Toc38438774"/>
      <w:bookmarkStart w:id="3638" w:name="_Toc38439111"/>
      <w:bookmarkStart w:id="3639" w:name="_Toc38439448"/>
      <w:bookmarkStart w:id="3640" w:name="_Toc38439785"/>
      <w:bookmarkStart w:id="3641" w:name="_Toc38440122"/>
      <w:bookmarkStart w:id="3642" w:name="_Toc38440459"/>
      <w:bookmarkStart w:id="3643" w:name="_Toc38440991"/>
      <w:bookmarkStart w:id="3644" w:name="_Toc38441323"/>
      <w:bookmarkStart w:id="3645" w:name="_Toc38441655"/>
      <w:bookmarkStart w:id="3646" w:name="_Toc38441983"/>
      <w:bookmarkStart w:id="3647" w:name="_Toc38442315"/>
      <w:bookmarkStart w:id="3648" w:name="_Toc38442647"/>
      <w:bookmarkStart w:id="3649" w:name="_Toc38442978"/>
      <w:bookmarkStart w:id="3650" w:name="_Toc38443309"/>
      <w:bookmarkStart w:id="3651" w:name="_Toc38443640"/>
      <w:bookmarkStart w:id="3652" w:name="_Toc38443970"/>
      <w:bookmarkStart w:id="3653" w:name="_Toc38438438"/>
      <w:bookmarkStart w:id="3654" w:name="_Toc38438775"/>
      <w:bookmarkStart w:id="3655" w:name="_Toc38439112"/>
      <w:bookmarkStart w:id="3656" w:name="_Toc38439449"/>
      <w:bookmarkStart w:id="3657" w:name="_Toc38439786"/>
      <w:bookmarkStart w:id="3658" w:name="_Toc38440123"/>
      <w:bookmarkStart w:id="3659" w:name="_Toc38440460"/>
      <w:bookmarkStart w:id="3660" w:name="_Toc38440992"/>
      <w:bookmarkStart w:id="3661" w:name="_Toc38441324"/>
      <w:bookmarkStart w:id="3662" w:name="_Toc38441656"/>
      <w:bookmarkStart w:id="3663" w:name="_Toc38441984"/>
      <w:bookmarkStart w:id="3664" w:name="_Toc38442316"/>
      <w:bookmarkStart w:id="3665" w:name="_Toc38442648"/>
      <w:bookmarkStart w:id="3666" w:name="_Toc38442979"/>
      <w:bookmarkStart w:id="3667" w:name="_Toc38443310"/>
      <w:bookmarkStart w:id="3668" w:name="_Toc38443641"/>
      <w:bookmarkStart w:id="3669" w:name="_Toc38443971"/>
      <w:bookmarkStart w:id="3670" w:name="_Toc38438439"/>
      <w:bookmarkStart w:id="3671" w:name="_Toc38438776"/>
      <w:bookmarkStart w:id="3672" w:name="_Toc38439113"/>
      <w:bookmarkStart w:id="3673" w:name="_Toc38439450"/>
      <w:bookmarkStart w:id="3674" w:name="_Toc38439787"/>
      <w:bookmarkStart w:id="3675" w:name="_Toc38440124"/>
      <w:bookmarkStart w:id="3676" w:name="_Toc38440461"/>
      <w:bookmarkStart w:id="3677" w:name="_Toc38440993"/>
      <w:bookmarkStart w:id="3678" w:name="_Toc38441325"/>
      <w:bookmarkStart w:id="3679" w:name="_Toc38441657"/>
      <w:bookmarkStart w:id="3680" w:name="_Toc38441985"/>
      <w:bookmarkStart w:id="3681" w:name="_Toc38442317"/>
      <w:bookmarkStart w:id="3682" w:name="_Toc38442649"/>
      <w:bookmarkStart w:id="3683" w:name="_Toc38442980"/>
      <w:bookmarkStart w:id="3684" w:name="_Toc38443311"/>
      <w:bookmarkStart w:id="3685" w:name="_Toc38443642"/>
      <w:bookmarkStart w:id="3686" w:name="_Toc38443972"/>
      <w:bookmarkStart w:id="3687" w:name="_Toc38438440"/>
      <w:bookmarkStart w:id="3688" w:name="_Toc38438777"/>
      <w:bookmarkStart w:id="3689" w:name="_Toc38439114"/>
      <w:bookmarkStart w:id="3690" w:name="_Toc38439451"/>
      <w:bookmarkStart w:id="3691" w:name="_Toc38439788"/>
      <w:bookmarkStart w:id="3692" w:name="_Toc38440125"/>
      <w:bookmarkStart w:id="3693" w:name="_Toc38440462"/>
      <w:bookmarkStart w:id="3694" w:name="_Toc38440994"/>
      <w:bookmarkStart w:id="3695" w:name="_Toc38441326"/>
      <w:bookmarkStart w:id="3696" w:name="_Toc38441658"/>
      <w:bookmarkStart w:id="3697" w:name="_Toc38441986"/>
      <w:bookmarkStart w:id="3698" w:name="_Toc38442318"/>
      <w:bookmarkStart w:id="3699" w:name="_Toc38442650"/>
      <w:bookmarkStart w:id="3700" w:name="_Toc38442981"/>
      <w:bookmarkStart w:id="3701" w:name="_Toc38443312"/>
      <w:bookmarkStart w:id="3702" w:name="_Toc38443643"/>
      <w:bookmarkStart w:id="3703" w:name="_Toc38443973"/>
      <w:bookmarkStart w:id="3704" w:name="_Toc38438441"/>
      <w:bookmarkStart w:id="3705" w:name="_Toc38438778"/>
      <w:bookmarkStart w:id="3706" w:name="_Toc38439115"/>
      <w:bookmarkStart w:id="3707" w:name="_Toc38439452"/>
      <w:bookmarkStart w:id="3708" w:name="_Toc38439789"/>
      <w:bookmarkStart w:id="3709" w:name="_Toc38440126"/>
      <w:bookmarkStart w:id="3710" w:name="_Toc38440463"/>
      <w:bookmarkStart w:id="3711" w:name="_Toc38440995"/>
      <w:bookmarkStart w:id="3712" w:name="_Toc38441327"/>
      <w:bookmarkStart w:id="3713" w:name="_Toc38441659"/>
      <w:bookmarkStart w:id="3714" w:name="_Toc38441987"/>
      <w:bookmarkStart w:id="3715" w:name="_Toc38442319"/>
      <w:bookmarkStart w:id="3716" w:name="_Toc38442651"/>
      <w:bookmarkStart w:id="3717" w:name="_Toc38442982"/>
      <w:bookmarkStart w:id="3718" w:name="_Toc38443313"/>
      <w:bookmarkStart w:id="3719" w:name="_Toc38443644"/>
      <w:bookmarkStart w:id="3720" w:name="_Toc38443974"/>
      <w:bookmarkStart w:id="3721" w:name="_Toc38438442"/>
      <w:bookmarkStart w:id="3722" w:name="_Toc38438779"/>
      <w:bookmarkStart w:id="3723" w:name="_Toc38439116"/>
      <w:bookmarkStart w:id="3724" w:name="_Toc38439453"/>
      <w:bookmarkStart w:id="3725" w:name="_Toc38439790"/>
      <w:bookmarkStart w:id="3726" w:name="_Toc38440127"/>
      <w:bookmarkStart w:id="3727" w:name="_Toc38440464"/>
      <w:bookmarkStart w:id="3728" w:name="_Toc38440996"/>
      <w:bookmarkStart w:id="3729" w:name="_Toc38441328"/>
      <w:bookmarkStart w:id="3730" w:name="_Toc38441660"/>
      <w:bookmarkStart w:id="3731" w:name="_Toc38441988"/>
      <w:bookmarkStart w:id="3732" w:name="_Toc38442320"/>
      <w:bookmarkStart w:id="3733" w:name="_Toc38442652"/>
      <w:bookmarkStart w:id="3734" w:name="_Toc38442983"/>
      <w:bookmarkStart w:id="3735" w:name="_Toc38443314"/>
      <w:bookmarkStart w:id="3736" w:name="_Toc38443645"/>
      <w:bookmarkStart w:id="3737" w:name="_Toc38443975"/>
      <w:bookmarkStart w:id="3738" w:name="_Toc38438443"/>
      <w:bookmarkStart w:id="3739" w:name="_Toc38438780"/>
      <w:bookmarkStart w:id="3740" w:name="_Toc38439117"/>
      <w:bookmarkStart w:id="3741" w:name="_Toc38439454"/>
      <w:bookmarkStart w:id="3742" w:name="_Toc38439791"/>
      <w:bookmarkStart w:id="3743" w:name="_Toc38440128"/>
      <w:bookmarkStart w:id="3744" w:name="_Toc38440465"/>
      <w:bookmarkStart w:id="3745" w:name="_Toc38440997"/>
      <w:bookmarkStart w:id="3746" w:name="_Toc38441329"/>
      <w:bookmarkStart w:id="3747" w:name="_Toc38441661"/>
      <w:bookmarkStart w:id="3748" w:name="_Toc38441989"/>
      <w:bookmarkStart w:id="3749" w:name="_Toc38442321"/>
      <w:bookmarkStart w:id="3750" w:name="_Toc38442653"/>
      <w:bookmarkStart w:id="3751" w:name="_Toc38442984"/>
      <w:bookmarkStart w:id="3752" w:name="_Toc38443315"/>
      <w:bookmarkStart w:id="3753" w:name="_Toc38443646"/>
      <w:bookmarkStart w:id="3754" w:name="_Toc38443976"/>
      <w:bookmarkStart w:id="3755" w:name="_Toc38438444"/>
      <w:bookmarkStart w:id="3756" w:name="_Toc38438781"/>
      <w:bookmarkStart w:id="3757" w:name="_Toc38439118"/>
      <w:bookmarkStart w:id="3758" w:name="_Toc38439455"/>
      <w:bookmarkStart w:id="3759" w:name="_Toc38439792"/>
      <w:bookmarkStart w:id="3760" w:name="_Toc38440129"/>
      <w:bookmarkStart w:id="3761" w:name="_Toc38440466"/>
      <w:bookmarkStart w:id="3762" w:name="_Toc38440998"/>
      <w:bookmarkStart w:id="3763" w:name="_Toc38441330"/>
      <w:bookmarkStart w:id="3764" w:name="_Toc38441662"/>
      <w:bookmarkStart w:id="3765" w:name="_Toc38441990"/>
      <w:bookmarkStart w:id="3766" w:name="_Toc38442322"/>
      <w:bookmarkStart w:id="3767" w:name="_Toc38442654"/>
      <w:bookmarkStart w:id="3768" w:name="_Toc38442985"/>
      <w:bookmarkStart w:id="3769" w:name="_Toc38443316"/>
      <w:bookmarkStart w:id="3770" w:name="_Toc38443647"/>
      <w:bookmarkStart w:id="3771" w:name="_Toc38443977"/>
      <w:bookmarkStart w:id="3772" w:name="_Toc38438445"/>
      <w:bookmarkStart w:id="3773" w:name="_Toc38438782"/>
      <w:bookmarkStart w:id="3774" w:name="_Toc38439119"/>
      <w:bookmarkStart w:id="3775" w:name="_Toc38439456"/>
      <w:bookmarkStart w:id="3776" w:name="_Toc38439793"/>
      <w:bookmarkStart w:id="3777" w:name="_Toc38440130"/>
      <w:bookmarkStart w:id="3778" w:name="_Toc38440467"/>
      <w:bookmarkStart w:id="3779" w:name="_Toc38440999"/>
      <w:bookmarkStart w:id="3780" w:name="_Toc38441331"/>
      <w:bookmarkStart w:id="3781" w:name="_Toc38441663"/>
      <w:bookmarkStart w:id="3782" w:name="_Toc38441991"/>
      <w:bookmarkStart w:id="3783" w:name="_Toc38442323"/>
      <w:bookmarkStart w:id="3784" w:name="_Toc38442655"/>
      <w:bookmarkStart w:id="3785" w:name="_Toc38442986"/>
      <w:bookmarkStart w:id="3786" w:name="_Toc38443317"/>
      <w:bookmarkStart w:id="3787" w:name="_Toc38443648"/>
      <w:bookmarkStart w:id="3788" w:name="_Toc38443978"/>
      <w:bookmarkStart w:id="3789" w:name="_Toc38438446"/>
      <w:bookmarkStart w:id="3790" w:name="_Toc38438783"/>
      <w:bookmarkStart w:id="3791" w:name="_Toc38439120"/>
      <w:bookmarkStart w:id="3792" w:name="_Toc38439457"/>
      <w:bookmarkStart w:id="3793" w:name="_Toc38439794"/>
      <w:bookmarkStart w:id="3794" w:name="_Toc38440131"/>
      <w:bookmarkStart w:id="3795" w:name="_Toc38440468"/>
      <w:bookmarkStart w:id="3796" w:name="_Toc38441000"/>
      <w:bookmarkStart w:id="3797" w:name="_Toc38441332"/>
      <w:bookmarkStart w:id="3798" w:name="_Toc38441664"/>
      <w:bookmarkStart w:id="3799" w:name="_Toc38441992"/>
      <w:bookmarkStart w:id="3800" w:name="_Toc38442324"/>
      <w:bookmarkStart w:id="3801" w:name="_Toc38442656"/>
      <w:bookmarkStart w:id="3802" w:name="_Toc38442987"/>
      <w:bookmarkStart w:id="3803" w:name="_Toc38443318"/>
      <w:bookmarkStart w:id="3804" w:name="_Toc38443649"/>
      <w:bookmarkStart w:id="3805" w:name="_Toc38443979"/>
      <w:bookmarkStart w:id="3806" w:name="_Toc38438447"/>
      <w:bookmarkStart w:id="3807" w:name="_Toc38438784"/>
      <w:bookmarkStart w:id="3808" w:name="_Toc38439121"/>
      <w:bookmarkStart w:id="3809" w:name="_Toc38439458"/>
      <w:bookmarkStart w:id="3810" w:name="_Toc38439795"/>
      <w:bookmarkStart w:id="3811" w:name="_Toc38440132"/>
      <w:bookmarkStart w:id="3812" w:name="_Toc38440469"/>
      <w:bookmarkStart w:id="3813" w:name="_Toc38441001"/>
      <w:bookmarkStart w:id="3814" w:name="_Toc38441333"/>
      <w:bookmarkStart w:id="3815" w:name="_Toc38441665"/>
      <w:bookmarkStart w:id="3816" w:name="_Toc38441993"/>
      <w:bookmarkStart w:id="3817" w:name="_Toc38442325"/>
      <w:bookmarkStart w:id="3818" w:name="_Toc38442657"/>
      <w:bookmarkStart w:id="3819" w:name="_Toc38442988"/>
      <w:bookmarkStart w:id="3820" w:name="_Toc38443319"/>
      <w:bookmarkStart w:id="3821" w:name="_Toc38443650"/>
      <w:bookmarkStart w:id="3822" w:name="_Toc38443980"/>
      <w:bookmarkStart w:id="3823" w:name="_Toc38438448"/>
      <w:bookmarkStart w:id="3824" w:name="_Toc38438785"/>
      <w:bookmarkStart w:id="3825" w:name="_Toc38439122"/>
      <w:bookmarkStart w:id="3826" w:name="_Toc38439459"/>
      <w:bookmarkStart w:id="3827" w:name="_Toc38439796"/>
      <w:bookmarkStart w:id="3828" w:name="_Toc38440133"/>
      <w:bookmarkStart w:id="3829" w:name="_Toc38440470"/>
      <w:bookmarkStart w:id="3830" w:name="_Toc38441002"/>
      <w:bookmarkStart w:id="3831" w:name="_Toc38441334"/>
      <w:bookmarkStart w:id="3832" w:name="_Toc38441666"/>
      <w:bookmarkStart w:id="3833" w:name="_Toc38441994"/>
      <w:bookmarkStart w:id="3834" w:name="_Toc38442326"/>
      <w:bookmarkStart w:id="3835" w:name="_Toc38442658"/>
      <w:bookmarkStart w:id="3836" w:name="_Toc38442989"/>
      <w:bookmarkStart w:id="3837" w:name="_Toc38443320"/>
      <w:bookmarkStart w:id="3838" w:name="_Toc38443651"/>
      <w:bookmarkStart w:id="3839" w:name="_Toc38443981"/>
      <w:bookmarkStart w:id="3840" w:name="_Toc38438449"/>
      <w:bookmarkStart w:id="3841" w:name="_Toc38438786"/>
      <w:bookmarkStart w:id="3842" w:name="_Toc38439123"/>
      <w:bookmarkStart w:id="3843" w:name="_Toc38439460"/>
      <w:bookmarkStart w:id="3844" w:name="_Toc38439797"/>
      <w:bookmarkStart w:id="3845" w:name="_Toc38440134"/>
      <w:bookmarkStart w:id="3846" w:name="_Toc38440471"/>
      <w:bookmarkStart w:id="3847" w:name="_Toc38441003"/>
      <w:bookmarkStart w:id="3848" w:name="_Toc38441335"/>
      <w:bookmarkStart w:id="3849" w:name="_Toc38441667"/>
      <w:bookmarkStart w:id="3850" w:name="_Toc38441995"/>
      <w:bookmarkStart w:id="3851" w:name="_Toc38442327"/>
      <w:bookmarkStart w:id="3852" w:name="_Toc38442659"/>
      <w:bookmarkStart w:id="3853" w:name="_Toc38442990"/>
      <w:bookmarkStart w:id="3854" w:name="_Toc38443321"/>
      <w:bookmarkStart w:id="3855" w:name="_Toc38443652"/>
      <w:bookmarkStart w:id="3856" w:name="_Toc38443982"/>
      <w:bookmarkStart w:id="3857" w:name="_Toc38438450"/>
      <w:bookmarkStart w:id="3858" w:name="_Toc38438787"/>
      <w:bookmarkStart w:id="3859" w:name="_Toc38439124"/>
      <w:bookmarkStart w:id="3860" w:name="_Toc38439461"/>
      <w:bookmarkStart w:id="3861" w:name="_Toc38439798"/>
      <w:bookmarkStart w:id="3862" w:name="_Toc38440135"/>
      <w:bookmarkStart w:id="3863" w:name="_Toc38440472"/>
      <w:bookmarkStart w:id="3864" w:name="_Toc38441004"/>
      <w:bookmarkStart w:id="3865" w:name="_Toc38441336"/>
      <w:bookmarkStart w:id="3866" w:name="_Toc38441668"/>
      <w:bookmarkStart w:id="3867" w:name="_Toc38441996"/>
      <w:bookmarkStart w:id="3868" w:name="_Toc38442328"/>
      <w:bookmarkStart w:id="3869" w:name="_Toc38442660"/>
      <w:bookmarkStart w:id="3870" w:name="_Toc38442991"/>
      <w:bookmarkStart w:id="3871" w:name="_Toc38443322"/>
      <w:bookmarkStart w:id="3872" w:name="_Toc38443653"/>
      <w:bookmarkStart w:id="3873" w:name="_Toc38443983"/>
      <w:bookmarkStart w:id="3874" w:name="_Toc38438451"/>
      <w:bookmarkStart w:id="3875" w:name="_Toc38438788"/>
      <w:bookmarkStart w:id="3876" w:name="_Toc38439125"/>
      <w:bookmarkStart w:id="3877" w:name="_Toc38439462"/>
      <w:bookmarkStart w:id="3878" w:name="_Toc38439799"/>
      <w:bookmarkStart w:id="3879" w:name="_Toc38440136"/>
      <w:bookmarkStart w:id="3880" w:name="_Toc38440473"/>
      <w:bookmarkStart w:id="3881" w:name="_Toc38441005"/>
      <w:bookmarkStart w:id="3882" w:name="_Toc38441337"/>
      <w:bookmarkStart w:id="3883" w:name="_Toc38441669"/>
      <w:bookmarkStart w:id="3884" w:name="_Toc38441997"/>
      <w:bookmarkStart w:id="3885" w:name="_Toc38442329"/>
      <w:bookmarkStart w:id="3886" w:name="_Toc38442661"/>
      <w:bookmarkStart w:id="3887" w:name="_Toc38442992"/>
      <w:bookmarkStart w:id="3888" w:name="_Toc38443323"/>
      <w:bookmarkStart w:id="3889" w:name="_Toc38443654"/>
      <w:bookmarkStart w:id="3890" w:name="_Toc38443984"/>
      <w:bookmarkStart w:id="3891" w:name="_Toc38438452"/>
      <w:bookmarkStart w:id="3892" w:name="_Toc38438789"/>
      <w:bookmarkStart w:id="3893" w:name="_Toc38439126"/>
      <w:bookmarkStart w:id="3894" w:name="_Toc38439463"/>
      <w:bookmarkStart w:id="3895" w:name="_Toc38439800"/>
      <w:bookmarkStart w:id="3896" w:name="_Toc38440137"/>
      <w:bookmarkStart w:id="3897" w:name="_Toc38440474"/>
      <w:bookmarkStart w:id="3898" w:name="_Toc38441006"/>
      <w:bookmarkStart w:id="3899" w:name="_Toc38441338"/>
      <w:bookmarkStart w:id="3900" w:name="_Toc38441670"/>
      <w:bookmarkStart w:id="3901" w:name="_Toc38441998"/>
      <w:bookmarkStart w:id="3902" w:name="_Toc38442330"/>
      <w:bookmarkStart w:id="3903" w:name="_Toc38442662"/>
      <w:bookmarkStart w:id="3904" w:name="_Toc38442993"/>
      <w:bookmarkStart w:id="3905" w:name="_Toc38443324"/>
      <w:bookmarkStart w:id="3906" w:name="_Toc38443655"/>
      <w:bookmarkStart w:id="3907" w:name="_Toc38443985"/>
      <w:bookmarkStart w:id="3908" w:name="_Toc38438453"/>
      <w:bookmarkStart w:id="3909" w:name="_Toc38438790"/>
      <w:bookmarkStart w:id="3910" w:name="_Toc38439127"/>
      <w:bookmarkStart w:id="3911" w:name="_Toc38439464"/>
      <w:bookmarkStart w:id="3912" w:name="_Toc38439801"/>
      <w:bookmarkStart w:id="3913" w:name="_Toc38440138"/>
      <w:bookmarkStart w:id="3914" w:name="_Toc38440475"/>
      <w:bookmarkStart w:id="3915" w:name="_Toc38441007"/>
      <w:bookmarkStart w:id="3916" w:name="_Toc38441339"/>
      <w:bookmarkStart w:id="3917" w:name="_Toc38441671"/>
      <w:bookmarkStart w:id="3918" w:name="_Toc38441999"/>
      <w:bookmarkStart w:id="3919" w:name="_Toc38442331"/>
      <w:bookmarkStart w:id="3920" w:name="_Toc38442663"/>
      <w:bookmarkStart w:id="3921" w:name="_Toc38442994"/>
      <w:bookmarkStart w:id="3922" w:name="_Toc38443325"/>
      <w:bookmarkStart w:id="3923" w:name="_Toc38443656"/>
      <w:bookmarkStart w:id="3924" w:name="_Toc38443986"/>
      <w:bookmarkStart w:id="3925" w:name="_Toc38438454"/>
      <w:bookmarkStart w:id="3926" w:name="_Toc38438791"/>
      <w:bookmarkStart w:id="3927" w:name="_Toc38439128"/>
      <w:bookmarkStart w:id="3928" w:name="_Toc38439465"/>
      <w:bookmarkStart w:id="3929" w:name="_Toc38439802"/>
      <w:bookmarkStart w:id="3930" w:name="_Toc38440139"/>
      <w:bookmarkStart w:id="3931" w:name="_Toc38440476"/>
      <w:bookmarkStart w:id="3932" w:name="_Toc38441008"/>
      <w:bookmarkStart w:id="3933" w:name="_Toc38441340"/>
      <w:bookmarkStart w:id="3934" w:name="_Toc38441672"/>
      <w:bookmarkStart w:id="3935" w:name="_Toc38442000"/>
      <w:bookmarkStart w:id="3936" w:name="_Toc38442332"/>
      <w:bookmarkStart w:id="3937" w:name="_Toc38442664"/>
      <w:bookmarkStart w:id="3938" w:name="_Toc38442995"/>
      <w:bookmarkStart w:id="3939" w:name="_Toc38443326"/>
      <w:bookmarkStart w:id="3940" w:name="_Toc38443657"/>
      <w:bookmarkStart w:id="3941" w:name="_Toc38443987"/>
      <w:bookmarkStart w:id="3942" w:name="_Toc38438455"/>
      <w:bookmarkStart w:id="3943" w:name="_Toc38438792"/>
      <w:bookmarkStart w:id="3944" w:name="_Toc38439129"/>
      <w:bookmarkStart w:id="3945" w:name="_Toc38439466"/>
      <w:bookmarkStart w:id="3946" w:name="_Toc38439803"/>
      <w:bookmarkStart w:id="3947" w:name="_Toc38440140"/>
      <w:bookmarkStart w:id="3948" w:name="_Toc38440477"/>
      <w:bookmarkStart w:id="3949" w:name="_Toc38441009"/>
      <w:bookmarkStart w:id="3950" w:name="_Toc38441341"/>
      <w:bookmarkStart w:id="3951" w:name="_Toc38441673"/>
      <w:bookmarkStart w:id="3952" w:name="_Toc38442001"/>
      <w:bookmarkStart w:id="3953" w:name="_Toc38442333"/>
      <w:bookmarkStart w:id="3954" w:name="_Toc38442665"/>
      <w:bookmarkStart w:id="3955" w:name="_Toc38442996"/>
      <w:bookmarkStart w:id="3956" w:name="_Toc38443327"/>
      <w:bookmarkStart w:id="3957" w:name="_Toc38443658"/>
      <w:bookmarkStart w:id="3958" w:name="_Toc38443988"/>
      <w:bookmarkStart w:id="3959" w:name="_Toc38438456"/>
      <w:bookmarkStart w:id="3960" w:name="_Toc38438793"/>
      <w:bookmarkStart w:id="3961" w:name="_Toc38439130"/>
      <w:bookmarkStart w:id="3962" w:name="_Toc38439467"/>
      <w:bookmarkStart w:id="3963" w:name="_Toc38439804"/>
      <w:bookmarkStart w:id="3964" w:name="_Toc38440141"/>
      <w:bookmarkStart w:id="3965" w:name="_Toc38440478"/>
      <w:bookmarkStart w:id="3966" w:name="_Toc38441010"/>
      <w:bookmarkStart w:id="3967" w:name="_Toc38441342"/>
      <w:bookmarkStart w:id="3968" w:name="_Toc38441674"/>
      <w:bookmarkStart w:id="3969" w:name="_Toc38442002"/>
      <w:bookmarkStart w:id="3970" w:name="_Toc38442334"/>
      <w:bookmarkStart w:id="3971" w:name="_Toc38442666"/>
      <w:bookmarkStart w:id="3972" w:name="_Toc38442997"/>
      <w:bookmarkStart w:id="3973" w:name="_Toc38443328"/>
      <w:bookmarkStart w:id="3974" w:name="_Toc38443659"/>
      <w:bookmarkStart w:id="3975" w:name="_Toc38443989"/>
      <w:bookmarkStart w:id="3976" w:name="_Toc38438457"/>
      <w:bookmarkStart w:id="3977" w:name="_Toc38438794"/>
      <w:bookmarkStart w:id="3978" w:name="_Toc38439131"/>
      <w:bookmarkStart w:id="3979" w:name="_Toc38439468"/>
      <w:bookmarkStart w:id="3980" w:name="_Toc38439805"/>
      <w:bookmarkStart w:id="3981" w:name="_Toc38440142"/>
      <w:bookmarkStart w:id="3982" w:name="_Toc38440479"/>
      <w:bookmarkStart w:id="3983" w:name="_Toc38441011"/>
      <w:bookmarkStart w:id="3984" w:name="_Toc38441343"/>
      <w:bookmarkStart w:id="3985" w:name="_Toc38441675"/>
      <w:bookmarkStart w:id="3986" w:name="_Toc38442003"/>
      <w:bookmarkStart w:id="3987" w:name="_Toc38442335"/>
      <w:bookmarkStart w:id="3988" w:name="_Toc38442667"/>
      <w:bookmarkStart w:id="3989" w:name="_Toc38442998"/>
      <w:bookmarkStart w:id="3990" w:name="_Toc38443329"/>
      <w:bookmarkStart w:id="3991" w:name="_Toc38443660"/>
      <w:bookmarkStart w:id="3992" w:name="_Toc38443990"/>
      <w:bookmarkStart w:id="3993" w:name="_Toc38438458"/>
      <w:bookmarkStart w:id="3994" w:name="_Toc38438795"/>
      <w:bookmarkStart w:id="3995" w:name="_Toc38439132"/>
      <w:bookmarkStart w:id="3996" w:name="_Toc38439469"/>
      <w:bookmarkStart w:id="3997" w:name="_Toc38439806"/>
      <w:bookmarkStart w:id="3998" w:name="_Toc38440143"/>
      <w:bookmarkStart w:id="3999" w:name="_Toc38440480"/>
      <w:bookmarkStart w:id="4000" w:name="_Toc38441012"/>
      <w:bookmarkStart w:id="4001" w:name="_Toc38441344"/>
      <w:bookmarkStart w:id="4002" w:name="_Toc38441676"/>
      <w:bookmarkStart w:id="4003" w:name="_Toc38442004"/>
      <w:bookmarkStart w:id="4004" w:name="_Toc38442336"/>
      <w:bookmarkStart w:id="4005" w:name="_Toc38442668"/>
      <w:bookmarkStart w:id="4006" w:name="_Toc38442999"/>
      <w:bookmarkStart w:id="4007" w:name="_Toc38443330"/>
      <w:bookmarkStart w:id="4008" w:name="_Toc38443661"/>
      <w:bookmarkStart w:id="4009" w:name="_Toc38443991"/>
      <w:bookmarkStart w:id="4010" w:name="_Toc81922659"/>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r w:rsidRPr="00286323">
        <w:rPr>
          <w:rFonts w:asciiTheme="minorEastAsia" w:eastAsiaTheme="minorEastAsia" w:hAnsiTheme="minorEastAsia" w:cs="Arial" w:hint="eastAsia"/>
          <w:bCs/>
          <w:color w:val="000000" w:themeColor="text1"/>
        </w:rPr>
        <w:lastRenderedPageBreak/>
        <w:t>招募说明书存放及查阅方式</w:t>
      </w:r>
      <w:bookmarkEnd w:id="4010"/>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本《招募说明书》存放在基金管理人、基金托管人及基金</w:t>
      </w:r>
      <w:r w:rsidR="00E70AC3" w:rsidRPr="00286323">
        <w:rPr>
          <w:rFonts w:asciiTheme="minorEastAsia" w:eastAsiaTheme="minorEastAsia" w:hAnsiTheme="minorEastAsia" w:cs="Arial" w:hint="eastAsia"/>
          <w:color w:val="000000" w:themeColor="text1"/>
        </w:rPr>
        <w:t>销售</w:t>
      </w:r>
      <w:r w:rsidRPr="00286323">
        <w:rPr>
          <w:rFonts w:asciiTheme="minorEastAsia" w:eastAsiaTheme="minorEastAsia" w:hAnsiTheme="minorEastAsia" w:cs="Arial"/>
          <w:color w:val="000000" w:themeColor="text1"/>
        </w:rPr>
        <w:t>机构</w:t>
      </w:r>
      <w:r w:rsidR="006C0C36" w:rsidRPr="00286323">
        <w:rPr>
          <w:rFonts w:asciiTheme="minorEastAsia" w:eastAsiaTheme="minorEastAsia" w:hAnsiTheme="minorEastAsia" w:cs="Arial" w:hint="eastAsia"/>
          <w:color w:val="000000" w:themeColor="text1"/>
        </w:rPr>
        <w:t>处</w:t>
      </w:r>
      <w:r w:rsidRPr="00286323">
        <w:rPr>
          <w:rFonts w:asciiTheme="minorEastAsia" w:eastAsiaTheme="minorEastAsia" w:hAnsiTheme="minorEastAsia" w:cs="Arial"/>
          <w:color w:val="000000" w:themeColor="text1"/>
        </w:rPr>
        <w:t>，投资人可在营业时间免费查阅，也可按工本费购买复印件。基金管理人和基金托管人保证其所提供的文本的内容与所公告的内容完全一致。</w:t>
      </w:r>
    </w:p>
    <w:p w:rsidR="001A7CDB" w:rsidRPr="00286323" w:rsidRDefault="001A7CDB" w:rsidP="00F71D3B">
      <w:pPr>
        <w:pStyle w:val="11"/>
        <w:numPr>
          <w:ilvl w:val="0"/>
          <w:numId w:val="9"/>
        </w:numPr>
        <w:snapToGrid w:val="0"/>
        <w:spacing w:beforeLines="0" w:afterLines="0" w:line="360" w:lineRule="auto"/>
        <w:ind w:firstLineChars="0"/>
        <w:rPr>
          <w:rFonts w:asciiTheme="minorEastAsia" w:eastAsiaTheme="minorEastAsia" w:hAnsiTheme="minorEastAsia" w:cs="Arial"/>
          <w:color w:val="000000" w:themeColor="text1"/>
          <w:szCs w:val="21"/>
        </w:rPr>
      </w:pPr>
      <w:bookmarkStart w:id="4011" w:name="_Toc81922660"/>
      <w:r w:rsidRPr="00286323">
        <w:rPr>
          <w:rFonts w:asciiTheme="minorEastAsia" w:eastAsiaTheme="minorEastAsia" w:hAnsiTheme="minorEastAsia" w:cs="Arial" w:hint="eastAsia"/>
          <w:color w:val="000000" w:themeColor="text1"/>
        </w:rPr>
        <w:lastRenderedPageBreak/>
        <w:t>备查文件</w:t>
      </w:r>
      <w:bookmarkEnd w:id="4011"/>
    </w:p>
    <w:p w:rsidR="001A7CDB" w:rsidRPr="00286323" w:rsidRDefault="001A7CDB" w:rsidP="00F71D3B">
      <w:pPr>
        <w:pStyle w:val="ac"/>
        <w:autoSpaceDE w:val="0"/>
        <w:autoSpaceDN w:val="0"/>
        <w:adjustRightInd w:val="0"/>
        <w:snapToGrid w:val="0"/>
        <w:spacing w:after="0" w:line="360" w:lineRule="auto"/>
        <w:ind w:firstLineChars="20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1、</w:t>
      </w:r>
      <w:r w:rsidRPr="00286323">
        <w:rPr>
          <w:rFonts w:asciiTheme="minorEastAsia" w:eastAsiaTheme="minorEastAsia" w:hAnsiTheme="minorEastAsia" w:cs="Arial"/>
          <w:color w:val="000000" w:themeColor="text1"/>
        </w:rPr>
        <w:t>中国证监会</w:t>
      </w:r>
      <w:r w:rsidR="0025464A" w:rsidRPr="00286323">
        <w:rPr>
          <w:rFonts w:asciiTheme="minorEastAsia" w:eastAsiaTheme="minorEastAsia" w:hAnsiTheme="minorEastAsia" w:hint="eastAsia"/>
          <w:color w:val="000000" w:themeColor="text1"/>
        </w:rPr>
        <w:t>《</w:t>
      </w:r>
      <w:r w:rsidR="00925D66" w:rsidRPr="00286323">
        <w:rPr>
          <w:rFonts w:asciiTheme="minorEastAsia" w:eastAsiaTheme="minorEastAsia" w:hAnsiTheme="minorEastAsia" w:cs="Arial"/>
          <w:color w:val="000000" w:themeColor="text1"/>
        </w:rPr>
        <w:t>关于核准</w:t>
      </w:r>
      <w:r w:rsidR="00925D66" w:rsidRPr="00286323">
        <w:rPr>
          <w:rFonts w:asciiTheme="minorEastAsia" w:eastAsiaTheme="minorEastAsia" w:hAnsiTheme="minorEastAsia" w:cs="Arial" w:hint="eastAsia"/>
          <w:color w:val="000000" w:themeColor="text1"/>
        </w:rPr>
        <w:t>易方达量化衍伸股票型证券投资基金基金份额持有人大会决议的批复</w:t>
      </w:r>
      <w:r w:rsidR="0025464A" w:rsidRPr="00286323">
        <w:rPr>
          <w:rFonts w:asciiTheme="minorEastAsia" w:eastAsiaTheme="minorEastAsia" w:hAnsiTheme="minorEastAsia" w:cs="Arial" w:hint="eastAsia"/>
          <w:color w:val="000000" w:themeColor="text1"/>
        </w:rPr>
        <w:t>》</w:t>
      </w:r>
      <w:r w:rsidRPr="00286323">
        <w:rPr>
          <w:rFonts w:asciiTheme="minorEastAsia" w:eastAsiaTheme="minorEastAsia" w:hAnsiTheme="minorEastAsia" w:cs="Arial"/>
          <w:color w:val="000000" w:themeColor="text1"/>
        </w:rPr>
        <w:t>；</w:t>
      </w:r>
    </w:p>
    <w:p w:rsidR="001A7CDB" w:rsidRPr="00286323" w:rsidRDefault="001A7CDB" w:rsidP="00F71D3B">
      <w:pPr>
        <w:pStyle w:val="ac"/>
        <w:autoSpaceDE w:val="0"/>
        <w:autoSpaceDN w:val="0"/>
        <w:adjustRightInd w:val="0"/>
        <w:snapToGrid w:val="0"/>
        <w:spacing w:after="0" w:line="360" w:lineRule="auto"/>
        <w:ind w:firstLineChars="20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2、</w:t>
      </w:r>
      <w:r w:rsidRPr="00286323">
        <w:rPr>
          <w:rFonts w:asciiTheme="minorEastAsia" w:eastAsiaTheme="minorEastAsia" w:hAnsiTheme="minorEastAsia" w:cs="Arial"/>
          <w:color w:val="000000" w:themeColor="text1"/>
        </w:rPr>
        <w:t>《</w:t>
      </w:r>
      <w:r w:rsidR="00A80737" w:rsidRPr="00286323">
        <w:rPr>
          <w:rFonts w:asciiTheme="minorEastAsia" w:eastAsiaTheme="minorEastAsia" w:hAnsiTheme="minorEastAsia" w:cs="Arial"/>
          <w:color w:val="000000" w:themeColor="text1"/>
        </w:rPr>
        <w:t>易方达沪深300量化增强证券投资基金</w:t>
      </w:r>
      <w:r w:rsidRPr="00286323">
        <w:rPr>
          <w:rFonts w:asciiTheme="minorEastAsia" w:eastAsiaTheme="minorEastAsia" w:hAnsiTheme="minorEastAsia" w:cs="Arial"/>
          <w:color w:val="000000" w:themeColor="text1"/>
        </w:rPr>
        <w:t>基金合同》；</w:t>
      </w:r>
    </w:p>
    <w:p w:rsidR="001A7CDB" w:rsidRPr="00286323" w:rsidRDefault="001A7CDB" w:rsidP="00F71D3B">
      <w:pPr>
        <w:pStyle w:val="ac"/>
        <w:autoSpaceDE w:val="0"/>
        <w:autoSpaceDN w:val="0"/>
        <w:adjustRightInd w:val="0"/>
        <w:snapToGrid w:val="0"/>
        <w:spacing w:after="0" w:line="360" w:lineRule="auto"/>
        <w:ind w:firstLineChars="20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szCs w:val="21"/>
        </w:rPr>
        <w:t>3、</w:t>
      </w:r>
      <w:r w:rsidRPr="00286323">
        <w:rPr>
          <w:rFonts w:asciiTheme="minorEastAsia" w:eastAsiaTheme="minorEastAsia" w:hAnsiTheme="minorEastAsia" w:cs="Arial"/>
          <w:color w:val="000000" w:themeColor="text1"/>
          <w:szCs w:val="21"/>
        </w:rPr>
        <w:t>《</w:t>
      </w:r>
      <w:r w:rsidRPr="00286323">
        <w:rPr>
          <w:rFonts w:asciiTheme="minorEastAsia" w:eastAsiaTheme="minorEastAsia" w:hAnsiTheme="minorEastAsia" w:cs="Arial"/>
          <w:color w:val="000000" w:themeColor="text1"/>
        </w:rPr>
        <w:t>易方达基金管理有限公司开放式基金业务规则》；</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4、</w:t>
      </w:r>
      <w:r w:rsidRPr="00286323">
        <w:rPr>
          <w:rFonts w:asciiTheme="minorEastAsia" w:eastAsiaTheme="minorEastAsia" w:hAnsiTheme="minorEastAsia" w:cs="Arial"/>
          <w:color w:val="000000" w:themeColor="text1"/>
        </w:rPr>
        <w:t>《</w:t>
      </w:r>
      <w:r w:rsidR="00A80737" w:rsidRPr="00286323">
        <w:rPr>
          <w:rFonts w:asciiTheme="minorEastAsia" w:eastAsiaTheme="minorEastAsia" w:hAnsiTheme="minorEastAsia" w:cs="Arial"/>
          <w:color w:val="000000" w:themeColor="text1"/>
        </w:rPr>
        <w:t>易方达沪深300量化增强证券投资基金</w:t>
      </w:r>
      <w:r w:rsidRPr="00286323">
        <w:rPr>
          <w:rFonts w:asciiTheme="minorEastAsia" w:eastAsiaTheme="minorEastAsia" w:hAnsiTheme="minorEastAsia" w:cs="Arial"/>
          <w:color w:val="000000" w:themeColor="text1"/>
        </w:rPr>
        <w:t>托管协议》；</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5、</w:t>
      </w:r>
      <w:r w:rsidRPr="00286323">
        <w:rPr>
          <w:rFonts w:asciiTheme="minorEastAsia" w:eastAsiaTheme="minorEastAsia" w:hAnsiTheme="minorEastAsia" w:cs="Arial"/>
          <w:color w:val="000000" w:themeColor="text1"/>
        </w:rPr>
        <w:t>法律意见书；</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6、</w:t>
      </w:r>
      <w:r w:rsidRPr="00286323">
        <w:rPr>
          <w:rFonts w:asciiTheme="minorEastAsia" w:eastAsiaTheme="minorEastAsia" w:hAnsiTheme="minorEastAsia" w:cs="Arial"/>
          <w:color w:val="000000" w:themeColor="text1"/>
        </w:rPr>
        <w:t>基金管理人业务资格批件和营业执照；</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hint="eastAsia"/>
          <w:color w:val="000000" w:themeColor="text1"/>
        </w:rPr>
        <w:t>7、</w:t>
      </w:r>
      <w:r w:rsidRPr="00286323">
        <w:rPr>
          <w:rFonts w:asciiTheme="minorEastAsia" w:eastAsiaTheme="minorEastAsia" w:hAnsiTheme="minorEastAsia" w:cs="Arial"/>
          <w:color w:val="000000" w:themeColor="text1"/>
        </w:rPr>
        <w:t>基金托管人业务资格批件和营业执照。</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存放地点：基金管理人、基金托管人处</w:t>
      </w:r>
    </w:p>
    <w:p w:rsidR="001A7CDB" w:rsidRPr="00286323" w:rsidRDefault="001A7CDB" w:rsidP="00F71D3B">
      <w:pPr>
        <w:snapToGrid w:val="0"/>
        <w:spacing w:line="360" w:lineRule="auto"/>
        <w:ind w:firstLineChars="200" w:firstLine="420"/>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查阅方式：投资</w:t>
      </w:r>
      <w:r w:rsidR="00325EDA" w:rsidRPr="00286323">
        <w:rPr>
          <w:rFonts w:asciiTheme="minorEastAsia" w:eastAsiaTheme="minorEastAsia" w:hAnsiTheme="minorEastAsia" w:cs="Arial" w:hint="eastAsia"/>
          <w:color w:val="000000" w:themeColor="text1"/>
        </w:rPr>
        <w:t>者</w:t>
      </w:r>
      <w:r w:rsidRPr="00286323">
        <w:rPr>
          <w:rFonts w:asciiTheme="minorEastAsia" w:eastAsiaTheme="minorEastAsia" w:hAnsiTheme="minorEastAsia" w:cs="Arial"/>
          <w:color w:val="000000" w:themeColor="text1"/>
        </w:rPr>
        <w:t>可在营业时间免费查阅，也可按工本费购买复印件。</w:t>
      </w:r>
    </w:p>
    <w:p w:rsidR="001A7CDB" w:rsidRPr="00286323" w:rsidRDefault="001A7CDB" w:rsidP="00F71D3B">
      <w:pPr>
        <w:snapToGrid w:val="0"/>
        <w:spacing w:line="360" w:lineRule="auto"/>
        <w:rPr>
          <w:rFonts w:asciiTheme="minorEastAsia" w:eastAsiaTheme="minorEastAsia" w:hAnsiTheme="minorEastAsia" w:cs="Arial"/>
          <w:color w:val="000000" w:themeColor="text1"/>
        </w:rPr>
      </w:pPr>
    </w:p>
    <w:p w:rsidR="001A7CDB" w:rsidRPr="00286323" w:rsidRDefault="001A7CDB" w:rsidP="00F71D3B">
      <w:pPr>
        <w:snapToGrid w:val="0"/>
        <w:spacing w:line="360" w:lineRule="auto"/>
        <w:rPr>
          <w:rFonts w:asciiTheme="minorEastAsia" w:eastAsiaTheme="minorEastAsia" w:hAnsiTheme="minorEastAsia" w:cs="Arial"/>
          <w:color w:val="000000" w:themeColor="text1"/>
        </w:rPr>
      </w:pPr>
    </w:p>
    <w:p w:rsidR="001A7CDB" w:rsidRPr="00286323" w:rsidRDefault="001A7CDB" w:rsidP="00F71D3B">
      <w:pPr>
        <w:snapToGrid w:val="0"/>
        <w:spacing w:line="360" w:lineRule="auto"/>
        <w:ind w:firstLineChars="200" w:firstLine="420"/>
        <w:jc w:val="right"/>
        <w:rPr>
          <w:rFonts w:asciiTheme="minorEastAsia" w:eastAsiaTheme="minorEastAsia" w:hAnsiTheme="minorEastAsia" w:cs="Arial"/>
          <w:color w:val="000000" w:themeColor="text1"/>
        </w:rPr>
      </w:pPr>
      <w:r w:rsidRPr="00286323">
        <w:rPr>
          <w:rFonts w:asciiTheme="minorEastAsia" w:eastAsiaTheme="minorEastAsia" w:hAnsiTheme="minorEastAsia" w:cs="Arial"/>
          <w:color w:val="000000" w:themeColor="text1"/>
        </w:rPr>
        <w:t>易方达基金管理有限公司</w:t>
      </w:r>
    </w:p>
    <w:p w:rsidR="00867F21" w:rsidRPr="00286323" w:rsidRDefault="00146FC0" w:rsidP="00605548">
      <w:pPr>
        <w:wordWrap w:val="0"/>
        <w:snapToGrid w:val="0"/>
        <w:spacing w:line="360" w:lineRule="auto"/>
        <w:ind w:right="210"/>
        <w:jc w:val="right"/>
        <w:rPr>
          <w:rFonts w:asciiTheme="minorEastAsia" w:eastAsiaTheme="minorEastAsia" w:hAnsiTheme="minorEastAsia"/>
          <w:color w:val="000000" w:themeColor="text1"/>
        </w:rPr>
      </w:pPr>
      <w:r w:rsidRPr="00286323">
        <w:rPr>
          <w:rFonts w:asciiTheme="minorEastAsia" w:eastAsiaTheme="minorEastAsia" w:hAnsiTheme="minorEastAsia"/>
          <w:color w:val="000000" w:themeColor="text1"/>
        </w:rPr>
        <w:t>2021年</w:t>
      </w:r>
      <w:r w:rsidR="0000645E" w:rsidRPr="00286323">
        <w:rPr>
          <w:rFonts w:asciiTheme="minorEastAsia" w:eastAsiaTheme="minorEastAsia" w:hAnsiTheme="minorEastAsia"/>
          <w:color w:val="000000" w:themeColor="text1"/>
        </w:rPr>
        <w:t>9</w:t>
      </w:r>
      <w:r w:rsidRPr="00286323">
        <w:rPr>
          <w:rFonts w:asciiTheme="minorEastAsia" w:eastAsiaTheme="minorEastAsia" w:hAnsiTheme="minorEastAsia"/>
          <w:color w:val="000000" w:themeColor="text1"/>
        </w:rPr>
        <w:t>月</w:t>
      </w:r>
      <w:r w:rsidR="0000645E" w:rsidRPr="00286323">
        <w:rPr>
          <w:rFonts w:asciiTheme="minorEastAsia" w:eastAsiaTheme="minorEastAsia" w:hAnsiTheme="minorEastAsia"/>
          <w:color w:val="000000" w:themeColor="text1"/>
        </w:rPr>
        <w:t>8</w:t>
      </w:r>
      <w:r w:rsidRPr="00286323">
        <w:rPr>
          <w:rFonts w:asciiTheme="minorEastAsia" w:eastAsiaTheme="minorEastAsia" w:hAnsiTheme="minorEastAsia"/>
          <w:color w:val="000000" w:themeColor="text1"/>
        </w:rPr>
        <w:t>日</w:t>
      </w:r>
    </w:p>
    <w:sectPr w:rsidR="00867F21" w:rsidRPr="00286323" w:rsidSect="00D648D0">
      <w:pgSz w:w="11907" w:h="16840" w:code="9"/>
      <w:pgMar w:top="1701" w:right="1814" w:bottom="1701" w:left="1814" w:header="1134" w:footer="1247" w:gutter="0"/>
      <w:cols w:space="425"/>
      <w:docGrid w:type="linesAndChar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A24" w:rsidRDefault="00FC5A24" w:rsidP="00A14A69">
      <w:r>
        <w:separator/>
      </w:r>
    </w:p>
  </w:endnote>
  <w:endnote w:type="continuationSeparator" w:id="0">
    <w:p w:rsidR="00FC5A24" w:rsidRDefault="00FC5A24" w:rsidP="00A1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Song-Light">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456" w:rsidRDefault="006B5456" w:rsidP="00781FDB">
    <w:pPr>
      <w:pStyle w:val="a4"/>
      <w:spacing w:after="60"/>
      <w:ind w:firstLine="480"/>
      <w:jc w:val="center"/>
    </w:pPr>
  </w:p>
  <w:p w:rsidR="006B5456" w:rsidRDefault="006B5456" w:rsidP="0099273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456" w:rsidRDefault="006B5456" w:rsidP="00D648D0">
    <w:pPr>
      <w:pStyle w:val="a4"/>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456" w:rsidRDefault="006B5456" w:rsidP="00781FDB">
    <w:pPr>
      <w:pStyle w:val="a4"/>
      <w:spacing w:after="60"/>
      <w:ind w:firstLine="480"/>
      <w:jc w:val="center"/>
    </w:pPr>
    <w:r>
      <w:fldChar w:fldCharType="begin"/>
    </w:r>
    <w:r>
      <w:instrText xml:space="preserve"> PAGE   \* MERGEFORMAT </w:instrText>
    </w:r>
    <w:r>
      <w:fldChar w:fldCharType="separate"/>
    </w:r>
    <w:r w:rsidR="001936C1" w:rsidRPr="001936C1">
      <w:rPr>
        <w:noProof/>
        <w:lang w:val="zh-CN"/>
      </w:rPr>
      <w:t>7</w:t>
    </w:r>
    <w:r>
      <w:rPr>
        <w:noProof/>
        <w:lang w:val="zh-CN"/>
      </w:rPr>
      <w:fldChar w:fldCharType="end"/>
    </w:r>
  </w:p>
  <w:p w:rsidR="006B5456" w:rsidRDefault="006B5456" w:rsidP="0099273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A24" w:rsidRDefault="00FC5A24" w:rsidP="00A14A69">
      <w:r>
        <w:separator/>
      </w:r>
    </w:p>
  </w:footnote>
  <w:footnote w:type="continuationSeparator" w:id="0">
    <w:p w:rsidR="00FC5A24" w:rsidRDefault="00FC5A24" w:rsidP="00A14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456" w:rsidRPr="006779AA" w:rsidRDefault="006B5456" w:rsidP="007E51C3">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1E68"/>
    <w:multiLevelType w:val="hybridMultilevel"/>
    <w:tmpl w:val="B270F6E2"/>
    <w:lvl w:ilvl="0" w:tplc="7C94B2FE">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1E29CB"/>
    <w:multiLevelType w:val="hybridMultilevel"/>
    <w:tmpl w:val="3E5A4CAC"/>
    <w:lvl w:ilvl="0" w:tplc="00C0FF00">
      <w:start w:val="1"/>
      <w:numFmt w:val="decimal"/>
      <w:lvlText w:val="%1."/>
      <w:lvlJc w:val="left"/>
      <w:pPr>
        <w:ind w:left="884" w:hanging="60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 w15:restartNumberingAfterBreak="0">
    <w:nsid w:val="07922A58"/>
    <w:multiLevelType w:val="hybridMultilevel"/>
    <w:tmpl w:val="5C78C146"/>
    <w:lvl w:ilvl="0" w:tplc="7C94B2FE">
      <w:start w:val="1"/>
      <w:numFmt w:val="chineseCountingThousand"/>
      <w:lvlText w:val="（%1）"/>
      <w:lvlJc w:val="left"/>
      <w:pPr>
        <w:ind w:left="997" w:hanging="855"/>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B737187"/>
    <w:multiLevelType w:val="hybridMultilevel"/>
    <w:tmpl w:val="CEB6D58E"/>
    <w:lvl w:ilvl="0" w:tplc="7C94B2FE">
      <w:start w:val="1"/>
      <w:numFmt w:val="chineseCountingThousand"/>
      <w:lvlText w:val="（%1）"/>
      <w:lvlJc w:val="left"/>
      <w:pPr>
        <w:ind w:left="1275" w:hanging="855"/>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5D0017F"/>
    <w:multiLevelType w:val="hybridMultilevel"/>
    <w:tmpl w:val="E606FCA2"/>
    <w:lvl w:ilvl="0" w:tplc="7C94B2FE">
      <w:start w:val="1"/>
      <w:numFmt w:val="chineseCountingThousand"/>
      <w:lvlText w:val="（%1）"/>
      <w:lvlJc w:val="left"/>
      <w:pPr>
        <w:ind w:left="1275" w:hanging="855"/>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83443FB"/>
    <w:multiLevelType w:val="hybridMultilevel"/>
    <w:tmpl w:val="B270F6E2"/>
    <w:lvl w:ilvl="0" w:tplc="7C94B2FE">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15:restartNumberingAfterBreak="0">
    <w:nsid w:val="1A6D6F7E"/>
    <w:multiLevelType w:val="hybridMultilevel"/>
    <w:tmpl w:val="16E826FC"/>
    <w:lvl w:ilvl="0" w:tplc="271E205C">
      <w:start w:val="1"/>
      <w:numFmt w:val="decimal"/>
      <w:lvlText w:val="（%1）"/>
      <w:lvlJc w:val="left"/>
      <w:pPr>
        <w:tabs>
          <w:tab w:val="num" w:pos="851"/>
        </w:tabs>
        <w:ind w:left="851" w:hanging="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D47713D"/>
    <w:multiLevelType w:val="hybridMultilevel"/>
    <w:tmpl w:val="6FCEABFC"/>
    <w:lvl w:ilvl="0" w:tplc="635AD59C">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0F50D7A"/>
    <w:multiLevelType w:val="hybridMultilevel"/>
    <w:tmpl w:val="6FCEABFC"/>
    <w:lvl w:ilvl="0" w:tplc="635AD59C">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2EB4F1C"/>
    <w:multiLevelType w:val="hybridMultilevel"/>
    <w:tmpl w:val="5B541F06"/>
    <w:lvl w:ilvl="0" w:tplc="7C94B2FE">
      <w:start w:val="1"/>
      <w:numFmt w:val="chineseCountingThousand"/>
      <w:lvlText w:val="（%1）"/>
      <w:lvlJc w:val="left"/>
      <w:pPr>
        <w:ind w:left="420" w:hanging="420"/>
      </w:pPr>
      <w:rPr>
        <w:rFonts w:hint="eastAsia"/>
      </w:rPr>
    </w:lvl>
    <w:lvl w:ilvl="1" w:tplc="7F1E08A4">
      <w:start w:val="1"/>
      <w:numFmt w:val="decimal"/>
      <w:lvlText w:val="%2."/>
      <w:lvlJc w:val="left"/>
      <w:pPr>
        <w:ind w:left="1020" w:hanging="60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12" w15:restartNumberingAfterBreak="0">
    <w:nsid w:val="2FEB7643"/>
    <w:multiLevelType w:val="hybridMultilevel"/>
    <w:tmpl w:val="FD180FEE"/>
    <w:lvl w:ilvl="0" w:tplc="7C94B2FE">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0223448"/>
    <w:multiLevelType w:val="hybridMultilevel"/>
    <w:tmpl w:val="BDBA38D8"/>
    <w:lvl w:ilvl="0" w:tplc="7C94B2FE">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35E6D6A"/>
    <w:multiLevelType w:val="hybridMultilevel"/>
    <w:tmpl w:val="5580A806"/>
    <w:lvl w:ilvl="0" w:tplc="7C94B2FE">
      <w:start w:val="1"/>
      <w:numFmt w:val="chineseCountingThousand"/>
      <w:lvlText w:val="（%1）"/>
      <w:lvlJc w:val="left"/>
      <w:pPr>
        <w:ind w:left="1275" w:hanging="855"/>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379055CC"/>
    <w:multiLevelType w:val="hybridMultilevel"/>
    <w:tmpl w:val="FE42C1EE"/>
    <w:lvl w:ilvl="0" w:tplc="7C94B2FE">
      <w:start w:val="1"/>
      <w:numFmt w:val="chineseCountingThousand"/>
      <w:lvlText w:val="（%1）"/>
      <w:lvlJc w:val="left"/>
      <w:pPr>
        <w:ind w:left="1275" w:hanging="855"/>
      </w:pPr>
      <w:rPr>
        <w:rFonts w:hint="eastAsia"/>
      </w:rPr>
    </w:lvl>
    <w:lvl w:ilvl="1" w:tplc="71C27E7A">
      <w:start w:val="1"/>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3C292908"/>
    <w:multiLevelType w:val="hybridMultilevel"/>
    <w:tmpl w:val="5CA217A4"/>
    <w:lvl w:ilvl="0" w:tplc="98EAE5E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404E397A"/>
    <w:multiLevelType w:val="hybridMultilevel"/>
    <w:tmpl w:val="51441CB0"/>
    <w:lvl w:ilvl="0" w:tplc="0FAC7D7A">
      <w:start w:val="1"/>
      <w:numFmt w:val="chineseCountingThousand"/>
      <w:lvlText w:val="（%1）"/>
      <w:lvlJc w:val="left"/>
      <w:pPr>
        <w:ind w:left="855" w:hanging="855"/>
      </w:pPr>
      <w:rPr>
        <w:rFonts w:hint="eastAsia"/>
        <w:sz w:val="28"/>
        <w:szCs w:val="28"/>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42A62A2E"/>
    <w:multiLevelType w:val="hybridMultilevel"/>
    <w:tmpl w:val="E702C28E"/>
    <w:lvl w:ilvl="0" w:tplc="7C94B2FE">
      <w:start w:val="1"/>
      <w:numFmt w:val="chineseCountingThousand"/>
      <w:lvlText w:val="（%1）"/>
      <w:lvlJc w:val="left"/>
      <w:pPr>
        <w:ind w:left="1275" w:hanging="855"/>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46631172"/>
    <w:multiLevelType w:val="hybridMultilevel"/>
    <w:tmpl w:val="0B482238"/>
    <w:lvl w:ilvl="0" w:tplc="271E205C">
      <w:start w:val="1"/>
      <w:numFmt w:val="decimal"/>
      <w:lvlText w:val="（%1）"/>
      <w:lvlJc w:val="left"/>
      <w:pPr>
        <w:tabs>
          <w:tab w:val="num" w:pos="851"/>
        </w:tabs>
        <w:ind w:left="851" w:hanging="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4B385D0F"/>
    <w:multiLevelType w:val="hybridMultilevel"/>
    <w:tmpl w:val="36E8BDCC"/>
    <w:lvl w:ilvl="0" w:tplc="D3AE76CE">
      <w:start w:val="1"/>
      <w:numFmt w:val="japaneseCounting"/>
      <w:lvlText w:val="（%1）"/>
      <w:lvlJc w:val="left"/>
      <w:pPr>
        <w:tabs>
          <w:tab w:val="num" w:pos="720"/>
        </w:tabs>
        <w:ind w:left="720" w:hanging="720"/>
      </w:pPr>
      <w:rPr>
        <w:rFonts w:hint="eastAsia"/>
      </w:rPr>
    </w:lvl>
    <w:lvl w:ilvl="1" w:tplc="AD0419C8">
      <w:start w:val="1"/>
      <w:numFmt w:val="decimal"/>
      <w:pStyle w:val="CharCharCharCharCharCharChar"/>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4C0C1A6B"/>
    <w:multiLevelType w:val="hybridMultilevel"/>
    <w:tmpl w:val="E702C28E"/>
    <w:lvl w:ilvl="0" w:tplc="7C94B2FE">
      <w:start w:val="1"/>
      <w:numFmt w:val="chineseCountingThousand"/>
      <w:lvlText w:val="（%1）"/>
      <w:lvlJc w:val="left"/>
      <w:pPr>
        <w:ind w:left="1275" w:hanging="855"/>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4F467876"/>
    <w:multiLevelType w:val="hybridMultilevel"/>
    <w:tmpl w:val="790AE7D0"/>
    <w:lvl w:ilvl="0" w:tplc="A45CC83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4FFA74CD"/>
    <w:multiLevelType w:val="hybridMultilevel"/>
    <w:tmpl w:val="4B1CDACC"/>
    <w:lvl w:ilvl="0" w:tplc="7C94B2FE">
      <w:start w:val="1"/>
      <w:numFmt w:val="chineseCountingThousand"/>
      <w:lvlText w:val="（%1）"/>
      <w:lvlJc w:val="left"/>
      <w:pPr>
        <w:ind w:left="1275" w:hanging="855"/>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562621F"/>
    <w:multiLevelType w:val="hybridMultilevel"/>
    <w:tmpl w:val="1A3A79AA"/>
    <w:lvl w:ilvl="0" w:tplc="9DF6616A">
      <w:start w:val="1"/>
      <w:numFmt w:val="decimal"/>
      <w:lvlText w:val="%1."/>
      <w:lvlJc w:val="left"/>
      <w:pPr>
        <w:tabs>
          <w:tab w:val="num" w:pos="780"/>
        </w:tabs>
        <w:ind w:left="420" w:firstLine="0"/>
      </w:pPr>
    </w:lvl>
    <w:lvl w:ilvl="1" w:tplc="841C8DC8">
      <w:start w:val="1"/>
      <w:numFmt w:val="decimal"/>
      <w:lvlText w:val="（%2）"/>
      <w:lvlJc w:val="left"/>
      <w:pPr>
        <w:tabs>
          <w:tab w:val="num" w:pos="1134"/>
        </w:tabs>
        <w:ind w:left="1134" w:hanging="714"/>
      </w:pPr>
    </w:lvl>
    <w:lvl w:ilvl="2" w:tplc="A1B2D0EE">
      <w:start w:val="1"/>
      <w:numFmt w:val="decimal"/>
      <w:lvlText w:val="%3"/>
      <w:lvlJc w:val="left"/>
      <w:pPr>
        <w:tabs>
          <w:tab w:val="num" w:pos="780"/>
        </w:tabs>
        <w:ind w:left="420" w:firstLine="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A150F26"/>
    <w:multiLevelType w:val="hybridMultilevel"/>
    <w:tmpl w:val="9B6C0C98"/>
    <w:lvl w:ilvl="0" w:tplc="531A713E">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C86A51"/>
    <w:multiLevelType w:val="hybridMultilevel"/>
    <w:tmpl w:val="C2E67B9A"/>
    <w:lvl w:ilvl="0" w:tplc="7C94B2FE">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1DE3CEF"/>
    <w:multiLevelType w:val="hybridMultilevel"/>
    <w:tmpl w:val="02ACCD30"/>
    <w:lvl w:ilvl="0" w:tplc="4D2276AC">
      <w:start w:val="1"/>
      <w:numFmt w:val="chineseCountingThousand"/>
      <w:lvlText w:val="%1、"/>
      <w:lvlJc w:val="left"/>
      <w:pPr>
        <w:ind w:left="420" w:hanging="420"/>
      </w:pPr>
      <w:rPr>
        <w:rFonts w:asciiTheme="minorEastAsia" w:eastAsiaTheme="minorEastAsia" w:hAnsiTheme="minorEastAsia" w:hint="eastAsia"/>
        <w:sz w:val="32"/>
        <w:szCs w:val="32"/>
      </w:rPr>
    </w:lvl>
    <w:lvl w:ilvl="1" w:tplc="B91E62F2">
      <w:start w:val="1"/>
      <w:numFmt w:val="japaneseCounting"/>
      <w:lvlText w:val="（%2）"/>
      <w:lvlJc w:val="left"/>
      <w:pPr>
        <w:ind w:left="997" w:hanging="855"/>
      </w:pPr>
      <w:rPr>
        <w:rFonts w:hint="default"/>
        <w:b w:val="0"/>
        <w:sz w:val="28"/>
        <w:szCs w:val="28"/>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6732404"/>
    <w:multiLevelType w:val="multilevel"/>
    <w:tmpl w:val="CDC0E6D0"/>
    <w:lvl w:ilvl="0">
      <w:start w:val="1"/>
      <w:numFmt w:val="japaneseCounting"/>
      <w:pStyle w:val="ParaChar"/>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29" w15:restartNumberingAfterBreak="0">
    <w:nsid w:val="6FE147B6"/>
    <w:multiLevelType w:val="singleLevel"/>
    <w:tmpl w:val="5DAA9A04"/>
    <w:lvl w:ilvl="0">
      <w:start w:val="1"/>
      <w:numFmt w:val="decimal"/>
      <w:pStyle w:val="2"/>
      <w:lvlText w:val="(%1)"/>
      <w:lvlJc w:val="left"/>
      <w:pPr>
        <w:tabs>
          <w:tab w:val="num" w:pos="360"/>
        </w:tabs>
        <w:ind w:left="0" w:firstLine="0"/>
      </w:pPr>
      <w:rPr>
        <w:rFonts w:hint="eastAsia"/>
      </w:rPr>
    </w:lvl>
  </w:abstractNum>
  <w:abstractNum w:abstractNumId="30" w15:restartNumberingAfterBreak="0">
    <w:nsid w:val="711630D8"/>
    <w:multiLevelType w:val="hybridMultilevel"/>
    <w:tmpl w:val="B41041A4"/>
    <w:lvl w:ilvl="0" w:tplc="7C94B2FE">
      <w:start w:val="1"/>
      <w:numFmt w:val="chineseCountingThousand"/>
      <w:lvlText w:val="（%1）"/>
      <w:lvlJc w:val="left"/>
      <w:pPr>
        <w:ind w:left="855" w:hanging="855"/>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73E5776F"/>
    <w:multiLevelType w:val="hybridMultilevel"/>
    <w:tmpl w:val="66121ED2"/>
    <w:lvl w:ilvl="0" w:tplc="3594F8C4">
      <w:start w:val="1"/>
      <w:numFmt w:val="decimal"/>
      <w:lvlText w:val="(%1)"/>
      <w:lvlJc w:val="left"/>
      <w:pPr>
        <w:ind w:left="840" w:hanging="420"/>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3EB5044"/>
    <w:multiLevelType w:val="hybridMultilevel"/>
    <w:tmpl w:val="B41041A4"/>
    <w:lvl w:ilvl="0" w:tplc="7C94B2FE">
      <w:start w:val="1"/>
      <w:numFmt w:val="chineseCountingThousand"/>
      <w:lvlText w:val="（%1）"/>
      <w:lvlJc w:val="left"/>
      <w:pPr>
        <w:ind w:left="855" w:hanging="855"/>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7A317F16"/>
    <w:multiLevelType w:val="hybridMultilevel"/>
    <w:tmpl w:val="184A1E66"/>
    <w:lvl w:ilvl="0" w:tplc="7C94B2FE">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1"/>
  </w:num>
  <w:num w:numId="3">
    <w:abstractNumId w:val="28"/>
  </w:num>
  <w:num w:numId="4">
    <w:abstractNumId w:val="20"/>
  </w:num>
  <w:num w:numId="5">
    <w:abstractNumId w:val="29"/>
  </w:num>
  <w:num w:numId="6">
    <w:abstractNumId w:val="19"/>
  </w:num>
  <w:num w:numId="7">
    <w:abstractNumId w:val="7"/>
  </w:num>
  <w:num w:numId="8">
    <w:abstractNumId w:val="1"/>
  </w:num>
  <w:num w:numId="9">
    <w:abstractNumId w:val="27"/>
  </w:num>
  <w:num w:numId="10">
    <w:abstractNumId w:val="0"/>
  </w:num>
  <w:num w:numId="11">
    <w:abstractNumId w:val="10"/>
  </w:num>
  <w:num w:numId="12">
    <w:abstractNumId w:val="26"/>
  </w:num>
  <w:num w:numId="13">
    <w:abstractNumId w:val="13"/>
  </w:num>
  <w:num w:numId="14">
    <w:abstractNumId w:val="33"/>
  </w:num>
  <w:num w:numId="15">
    <w:abstractNumId w:val="12"/>
  </w:num>
  <w:num w:numId="16">
    <w:abstractNumId w:val="32"/>
  </w:num>
  <w:num w:numId="17">
    <w:abstractNumId w:val="17"/>
  </w:num>
  <w:num w:numId="18">
    <w:abstractNumId w:val="2"/>
  </w:num>
  <w:num w:numId="19">
    <w:abstractNumId w:val="3"/>
  </w:num>
  <w:num w:numId="20">
    <w:abstractNumId w:val="4"/>
  </w:num>
  <w:num w:numId="21">
    <w:abstractNumId w:val="23"/>
  </w:num>
  <w:num w:numId="22">
    <w:abstractNumId w:val="14"/>
  </w:num>
  <w:num w:numId="23">
    <w:abstractNumId w:val="21"/>
  </w:num>
  <w:num w:numId="24">
    <w:abstractNumId w:val="15"/>
  </w:num>
  <w:num w:numId="25">
    <w:abstractNumId w:val="31"/>
  </w:num>
  <w:num w:numId="26">
    <w:abstractNumId w:val="9"/>
  </w:num>
  <w:num w:numId="27">
    <w:abstractNumId w:val="8"/>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8"/>
  </w:num>
  <w:num w:numId="34">
    <w:abstractNumId w:val="5"/>
  </w:num>
  <w:num w:numId="35">
    <w:abstractNumId w:val="16"/>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44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7F21"/>
    <w:rsid w:val="00002DCA"/>
    <w:rsid w:val="0000645E"/>
    <w:rsid w:val="000072F3"/>
    <w:rsid w:val="00007D1B"/>
    <w:rsid w:val="00010657"/>
    <w:rsid w:val="000112F0"/>
    <w:rsid w:val="000130B5"/>
    <w:rsid w:val="00017438"/>
    <w:rsid w:val="0002068E"/>
    <w:rsid w:val="00021D10"/>
    <w:rsid w:val="00022039"/>
    <w:rsid w:val="0002351B"/>
    <w:rsid w:val="00024C22"/>
    <w:rsid w:val="00025324"/>
    <w:rsid w:val="000257D4"/>
    <w:rsid w:val="0003103D"/>
    <w:rsid w:val="000325A4"/>
    <w:rsid w:val="000325D3"/>
    <w:rsid w:val="00034924"/>
    <w:rsid w:val="00034ADE"/>
    <w:rsid w:val="000356CF"/>
    <w:rsid w:val="00036FCB"/>
    <w:rsid w:val="000500EC"/>
    <w:rsid w:val="00050F80"/>
    <w:rsid w:val="0005129C"/>
    <w:rsid w:val="00051A06"/>
    <w:rsid w:val="0005365C"/>
    <w:rsid w:val="00055CAC"/>
    <w:rsid w:val="00060228"/>
    <w:rsid w:val="00061B20"/>
    <w:rsid w:val="00067213"/>
    <w:rsid w:val="00067B1B"/>
    <w:rsid w:val="0007078D"/>
    <w:rsid w:val="00072450"/>
    <w:rsid w:val="000733B6"/>
    <w:rsid w:val="0007458C"/>
    <w:rsid w:val="0008012C"/>
    <w:rsid w:val="000809BC"/>
    <w:rsid w:val="00082DBA"/>
    <w:rsid w:val="00084644"/>
    <w:rsid w:val="000853F1"/>
    <w:rsid w:val="00092810"/>
    <w:rsid w:val="00097784"/>
    <w:rsid w:val="000A403D"/>
    <w:rsid w:val="000A45C4"/>
    <w:rsid w:val="000B4496"/>
    <w:rsid w:val="000B64F7"/>
    <w:rsid w:val="000B662C"/>
    <w:rsid w:val="000C099F"/>
    <w:rsid w:val="000C60EC"/>
    <w:rsid w:val="000C73F8"/>
    <w:rsid w:val="000D057F"/>
    <w:rsid w:val="000D2897"/>
    <w:rsid w:val="000D475E"/>
    <w:rsid w:val="000D5C3A"/>
    <w:rsid w:val="000D6F9B"/>
    <w:rsid w:val="000E414E"/>
    <w:rsid w:val="000F2175"/>
    <w:rsid w:val="000F41F3"/>
    <w:rsid w:val="000F516E"/>
    <w:rsid w:val="000F64BA"/>
    <w:rsid w:val="001043DD"/>
    <w:rsid w:val="00104FE6"/>
    <w:rsid w:val="001056D8"/>
    <w:rsid w:val="00107BB2"/>
    <w:rsid w:val="00111447"/>
    <w:rsid w:val="00111E12"/>
    <w:rsid w:val="00112ABE"/>
    <w:rsid w:val="00112D45"/>
    <w:rsid w:val="0011571B"/>
    <w:rsid w:val="001228B2"/>
    <w:rsid w:val="00123336"/>
    <w:rsid w:val="001237ED"/>
    <w:rsid w:val="0013194E"/>
    <w:rsid w:val="00131DA9"/>
    <w:rsid w:val="00132F42"/>
    <w:rsid w:val="00133308"/>
    <w:rsid w:val="0013636B"/>
    <w:rsid w:val="00140235"/>
    <w:rsid w:val="001412B6"/>
    <w:rsid w:val="0014479F"/>
    <w:rsid w:val="00146FC0"/>
    <w:rsid w:val="0014736A"/>
    <w:rsid w:val="001500E4"/>
    <w:rsid w:val="00150FA7"/>
    <w:rsid w:val="001531E0"/>
    <w:rsid w:val="00155850"/>
    <w:rsid w:val="00155EFC"/>
    <w:rsid w:val="00156EA1"/>
    <w:rsid w:val="00163D2D"/>
    <w:rsid w:val="00164306"/>
    <w:rsid w:val="0016558F"/>
    <w:rsid w:val="00165C07"/>
    <w:rsid w:val="00167C38"/>
    <w:rsid w:val="00177BF5"/>
    <w:rsid w:val="0018280C"/>
    <w:rsid w:val="00187A7B"/>
    <w:rsid w:val="00191D9B"/>
    <w:rsid w:val="00192BD7"/>
    <w:rsid w:val="001936C1"/>
    <w:rsid w:val="001940B3"/>
    <w:rsid w:val="00195C31"/>
    <w:rsid w:val="001A0BBD"/>
    <w:rsid w:val="001A0E39"/>
    <w:rsid w:val="001A19F7"/>
    <w:rsid w:val="001A23BE"/>
    <w:rsid w:val="001A67E6"/>
    <w:rsid w:val="001A770C"/>
    <w:rsid w:val="001A7CDB"/>
    <w:rsid w:val="001B012E"/>
    <w:rsid w:val="001B3973"/>
    <w:rsid w:val="001B62B0"/>
    <w:rsid w:val="001B67B0"/>
    <w:rsid w:val="001B6A3C"/>
    <w:rsid w:val="001C3549"/>
    <w:rsid w:val="001C74A0"/>
    <w:rsid w:val="001C7E9C"/>
    <w:rsid w:val="001D031D"/>
    <w:rsid w:val="001D2B30"/>
    <w:rsid w:val="001D3F72"/>
    <w:rsid w:val="001D3FEB"/>
    <w:rsid w:val="001D4ACA"/>
    <w:rsid w:val="001E0A9B"/>
    <w:rsid w:val="001E0F45"/>
    <w:rsid w:val="001E21D4"/>
    <w:rsid w:val="001E4046"/>
    <w:rsid w:val="001E44D3"/>
    <w:rsid w:val="001E45D5"/>
    <w:rsid w:val="001E57DE"/>
    <w:rsid w:val="001E702F"/>
    <w:rsid w:val="001E78EE"/>
    <w:rsid w:val="001E7D48"/>
    <w:rsid w:val="001F0A16"/>
    <w:rsid w:val="001F6459"/>
    <w:rsid w:val="001F655B"/>
    <w:rsid w:val="00200AAB"/>
    <w:rsid w:val="00201A54"/>
    <w:rsid w:val="0020215D"/>
    <w:rsid w:val="00205465"/>
    <w:rsid w:val="00205E24"/>
    <w:rsid w:val="0020775B"/>
    <w:rsid w:val="002149A2"/>
    <w:rsid w:val="00214CA4"/>
    <w:rsid w:val="00221C99"/>
    <w:rsid w:val="002279D4"/>
    <w:rsid w:val="00230899"/>
    <w:rsid w:val="002411DD"/>
    <w:rsid w:val="0024471C"/>
    <w:rsid w:val="0024486D"/>
    <w:rsid w:val="0024486F"/>
    <w:rsid w:val="00246160"/>
    <w:rsid w:val="00246CD1"/>
    <w:rsid w:val="002542D0"/>
    <w:rsid w:val="0025464A"/>
    <w:rsid w:val="00255028"/>
    <w:rsid w:val="00255C98"/>
    <w:rsid w:val="00257CD7"/>
    <w:rsid w:val="00261591"/>
    <w:rsid w:val="002625C5"/>
    <w:rsid w:val="002638D9"/>
    <w:rsid w:val="0026467A"/>
    <w:rsid w:val="0026567C"/>
    <w:rsid w:val="00266534"/>
    <w:rsid w:val="00266619"/>
    <w:rsid w:val="002719AC"/>
    <w:rsid w:val="00275CCD"/>
    <w:rsid w:val="002829C7"/>
    <w:rsid w:val="00285695"/>
    <w:rsid w:val="00286323"/>
    <w:rsid w:val="00286E4A"/>
    <w:rsid w:val="002909D2"/>
    <w:rsid w:val="00291D7E"/>
    <w:rsid w:val="00294FA6"/>
    <w:rsid w:val="00296749"/>
    <w:rsid w:val="002A0AC2"/>
    <w:rsid w:val="002A0E0E"/>
    <w:rsid w:val="002A32CC"/>
    <w:rsid w:val="002A37F0"/>
    <w:rsid w:val="002A3E19"/>
    <w:rsid w:val="002A5C56"/>
    <w:rsid w:val="002A5DD0"/>
    <w:rsid w:val="002A6F2F"/>
    <w:rsid w:val="002A7F64"/>
    <w:rsid w:val="002B093C"/>
    <w:rsid w:val="002B163A"/>
    <w:rsid w:val="002B1953"/>
    <w:rsid w:val="002B3F76"/>
    <w:rsid w:val="002B5E93"/>
    <w:rsid w:val="002B65F7"/>
    <w:rsid w:val="002B7911"/>
    <w:rsid w:val="002B7D5F"/>
    <w:rsid w:val="002B7E4B"/>
    <w:rsid w:val="002C08C8"/>
    <w:rsid w:val="002C0A24"/>
    <w:rsid w:val="002C2476"/>
    <w:rsid w:val="002C264E"/>
    <w:rsid w:val="002D0243"/>
    <w:rsid w:val="002D07BE"/>
    <w:rsid w:val="002D0BAF"/>
    <w:rsid w:val="002D0D06"/>
    <w:rsid w:val="002D1404"/>
    <w:rsid w:val="002D5A0E"/>
    <w:rsid w:val="002D6BAD"/>
    <w:rsid w:val="002E42ED"/>
    <w:rsid w:val="002E43D3"/>
    <w:rsid w:val="002E5E1A"/>
    <w:rsid w:val="002F0130"/>
    <w:rsid w:val="002F1D94"/>
    <w:rsid w:val="002F2806"/>
    <w:rsid w:val="002F2A85"/>
    <w:rsid w:val="002F2BD2"/>
    <w:rsid w:val="002F4AB9"/>
    <w:rsid w:val="002F4DEA"/>
    <w:rsid w:val="002F531A"/>
    <w:rsid w:val="002F6F0D"/>
    <w:rsid w:val="002F7025"/>
    <w:rsid w:val="00300EE4"/>
    <w:rsid w:val="00300F54"/>
    <w:rsid w:val="00301A83"/>
    <w:rsid w:val="00307189"/>
    <w:rsid w:val="0031441B"/>
    <w:rsid w:val="00314CAF"/>
    <w:rsid w:val="00315640"/>
    <w:rsid w:val="00315BF7"/>
    <w:rsid w:val="00317B73"/>
    <w:rsid w:val="003207F8"/>
    <w:rsid w:val="003236CE"/>
    <w:rsid w:val="00324AFC"/>
    <w:rsid w:val="00325627"/>
    <w:rsid w:val="00325EDA"/>
    <w:rsid w:val="003260DD"/>
    <w:rsid w:val="00326C2B"/>
    <w:rsid w:val="0033341F"/>
    <w:rsid w:val="00337992"/>
    <w:rsid w:val="0034078B"/>
    <w:rsid w:val="003413F1"/>
    <w:rsid w:val="00341C51"/>
    <w:rsid w:val="003467CB"/>
    <w:rsid w:val="003467D2"/>
    <w:rsid w:val="00347BCE"/>
    <w:rsid w:val="003511F7"/>
    <w:rsid w:val="00351A62"/>
    <w:rsid w:val="00352BEF"/>
    <w:rsid w:val="003558ED"/>
    <w:rsid w:val="0035762C"/>
    <w:rsid w:val="00362F89"/>
    <w:rsid w:val="003638A4"/>
    <w:rsid w:val="00366460"/>
    <w:rsid w:val="00370B44"/>
    <w:rsid w:val="00375699"/>
    <w:rsid w:val="0038270C"/>
    <w:rsid w:val="00386B82"/>
    <w:rsid w:val="003872B4"/>
    <w:rsid w:val="003876D7"/>
    <w:rsid w:val="0039108B"/>
    <w:rsid w:val="003913BA"/>
    <w:rsid w:val="00393551"/>
    <w:rsid w:val="0039548A"/>
    <w:rsid w:val="00395502"/>
    <w:rsid w:val="00396FEA"/>
    <w:rsid w:val="00397462"/>
    <w:rsid w:val="0039746F"/>
    <w:rsid w:val="003A1B18"/>
    <w:rsid w:val="003A250D"/>
    <w:rsid w:val="003A4193"/>
    <w:rsid w:val="003A4E33"/>
    <w:rsid w:val="003A6114"/>
    <w:rsid w:val="003A6F89"/>
    <w:rsid w:val="003B0066"/>
    <w:rsid w:val="003B0135"/>
    <w:rsid w:val="003B030C"/>
    <w:rsid w:val="003B3070"/>
    <w:rsid w:val="003B38F5"/>
    <w:rsid w:val="003B739A"/>
    <w:rsid w:val="003B75EF"/>
    <w:rsid w:val="003B7EAF"/>
    <w:rsid w:val="003C0431"/>
    <w:rsid w:val="003C2551"/>
    <w:rsid w:val="003C2BD1"/>
    <w:rsid w:val="003C3F44"/>
    <w:rsid w:val="003D066D"/>
    <w:rsid w:val="003D542D"/>
    <w:rsid w:val="003E062B"/>
    <w:rsid w:val="003E2237"/>
    <w:rsid w:val="003E245A"/>
    <w:rsid w:val="003E307D"/>
    <w:rsid w:val="003E363D"/>
    <w:rsid w:val="003E3AD2"/>
    <w:rsid w:val="003E5700"/>
    <w:rsid w:val="003E636F"/>
    <w:rsid w:val="003F12AF"/>
    <w:rsid w:val="003F1E00"/>
    <w:rsid w:val="003F345F"/>
    <w:rsid w:val="003F391C"/>
    <w:rsid w:val="003F3EA7"/>
    <w:rsid w:val="003F4999"/>
    <w:rsid w:val="003F5435"/>
    <w:rsid w:val="003F70BF"/>
    <w:rsid w:val="004026EF"/>
    <w:rsid w:val="00404CBB"/>
    <w:rsid w:val="0040613F"/>
    <w:rsid w:val="00406615"/>
    <w:rsid w:val="004068F9"/>
    <w:rsid w:val="00410EFB"/>
    <w:rsid w:val="00424249"/>
    <w:rsid w:val="00427E66"/>
    <w:rsid w:val="004312A5"/>
    <w:rsid w:val="004361E5"/>
    <w:rsid w:val="004419C1"/>
    <w:rsid w:val="00442B16"/>
    <w:rsid w:val="00442B5E"/>
    <w:rsid w:val="004528E5"/>
    <w:rsid w:val="004533AA"/>
    <w:rsid w:val="00456977"/>
    <w:rsid w:val="00457200"/>
    <w:rsid w:val="00457584"/>
    <w:rsid w:val="004621F3"/>
    <w:rsid w:val="004646BE"/>
    <w:rsid w:val="004652B8"/>
    <w:rsid w:val="00466E77"/>
    <w:rsid w:val="0047103C"/>
    <w:rsid w:val="00471D5D"/>
    <w:rsid w:val="00475A84"/>
    <w:rsid w:val="00476452"/>
    <w:rsid w:val="00476CD1"/>
    <w:rsid w:val="00483134"/>
    <w:rsid w:val="00492048"/>
    <w:rsid w:val="00495215"/>
    <w:rsid w:val="004962AE"/>
    <w:rsid w:val="004A1F6F"/>
    <w:rsid w:val="004A3976"/>
    <w:rsid w:val="004A4E28"/>
    <w:rsid w:val="004B3604"/>
    <w:rsid w:val="004B70A4"/>
    <w:rsid w:val="004B766C"/>
    <w:rsid w:val="004C2863"/>
    <w:rsid w:val="004C4A3C"/>
    <w:rsid w:val="004D7718"/>
    <w:rsid w:val="004E0701"/>
    <w:rsid w:val="004E1B94"/>
    <w:rsid w:val="004E287D"/>
    <w:rsid w:val="004E6B2E"/>
    <w:rsid w:val="004E7C6A"/>
    <w:rsid w:val="004F2A85"/>
    <w:rsid w:val="00501C25"/>
    <w:rsid w:val="00505107"/>
    <w:rsid w:val="005054A6"/>
    <w:rsid w:val="00507BC9"/>
    <w:rsid w:val="00511423"/>
    <w:rsid w:val="005157D7"/>
    <w:rsid w:val="005162D8"/>
    <w:rsid w:val="00521C7A"/>
    <w:rsid w:val="00523403"/>
    <w:rsid w:val="005250D9"/>
    <w:rsid w:val="0052525A"/>
    <w:rsid w:val="00530BD6"/>
    <w:rsid w:val="0054448E"/>
    <w:rsid w:val="00553A08"/>
    <w:rsid w:val="005548B2"/>
    <w:rsid w:val="00560A3F"/>
    <w:rsid w:val="00561860"/>
    <w:rsid w:val="00561B55"/>
    <w:rsid w:val="005630AC"/>
    <w:rsid w:val="005630EF"/>
    <w:rsid w:val="00564171"/>
    <w:rsid w:val="00564B98"/>
    <w:rsid w:val="0056659E"/>
    <w:rsid w:val="0056682B"/>
    <w:rsid w:val="00571D0E"/>
    <w:rsid w:val="00571F12"/>
    <w:rsid w:val="00572132"/>
    <w:rsid w:val="0057229C"/>
    <w:rsid w:val="00573E37"/>
    <w:rsid w:val="005777F7"/>
    <w:rsid w:val="00581149"/>
    <w:rsid w:val="005811F4"/>
    <w:rsid w:val="0058180B"/>
    <w:rsid w:val="00582E5E"/>
    <w:rsid w:val="0059186B"/>
    <w:rsid w:val="00591E0B"/>
    <w:rsid w:val="00594357"/>
    <w:rsid w:val="005976AA"/>
    <w:rsid w:val="005A1AA0"/>
    <w:rsid w:val="005A2548"/>
    <w:rsid w:val="005A39D1"/>
    <w:rsid w:val="005A742E"/>
    <w:rsid w:val="005A7C0E"/>
    <w:rsid w:val="005B11A9"/>
    <w:rsid w:val="005B15CF"/>
    <w:rsid w:val="005B54E1"/>
    <w:rsid w:val="005C1925"/>
    <w:rsid w:val="005C246B"/>
    <w:rsid w:val="005C258B"/>
    <w:rsid w:val="005C6B27"/>
    <w:rsid w:val="005D1BF0"/>
    <w:rsid w:val="005D3C34"/>
    <w:rsid w:val="005D6703"/>
    <w:rsid w:val="005E0402"/>
    <w:rsid w:val="005E219C"/>
    <w:rsid w:val="005E257B"/>
    <w:rsid w:val="005E291A"/>
    <w:rsid w:val="005E35AC"/>
    <w:rsid w:val="005E42AD"/>
    <w:rsid w:val="005E4A51"/>
    <w:rsid w:val="005E6438"/>
    <w:rsid w:val="005F0E3E"/>
    <w:rsid w:val="005F157F"/>
    <w:rsid w:val="005F2BDB"/>
    <w:rsid w:val="005F37C9"/>
    <w:rsid w:val="005F5F9E"/>
    <w:rsid w:val="005F641C"/>
    <w:rsid w:val="006010D3"/>
    <w:rsid w:val="00601418"/>
    <w:rsid w:val="0060142B"/>
    <w:rsid w:val="00603787"/>
    <w:rsid w:val="006041B9"/>
    <w:rsid w:val="00605548"/>
    <w:rsid w:val="00607BAA"/>
    <w:rsid w:val="00613F66"/>
    <w:rsid w:val="00614F74"/>
    <w:rsid w:val="00614FCC"/>
    <w:rsid w:val="006150E1"/>
    <w:rsid w:val="006156B5"/>
    <w:rsid w:val="00615B17"/>
    <w:rsid w:val="00617BFB"/>
    <w:rsid w:val="00623693"/>
    <w:rsid w:val="0062785D"/>
    <w:rsid w:val="00631574"/>
    <w:rsid w:val="00631B4E"/>
    <w:rsid w:val="00635E37"/>
    <w:rsid w:val="00643369"/>
    <w:rsid w:val="006441E5"/>
    <w:rsid w:val="00644357"/>
    <w:rsid w:val="006447F2"/>
    <w:rsid w:val="006466D9"/>
    <w:rsid w:val="006466E7"/>
    <w:rsid w:val="00655057"/>
    <w:rsid w:val="006560A2"/>
    <w:rsid w:val="00663582"/>
    <w:rsid w:val="00664565"/>
    <w:rsid w:val="00665021"/>
    <w:rsid w:val="00666349"/>
    <w:rsid w:val="00666510"/>
    <w:rsid w:val="00666DFB"/>
    <w:rsid w:val="0067008D"/>
    <w:rsid w:val="00670133"/>
    <w:rsid w:val="006779AA"/>
    <w:rsid w:val="00683E3D"/>
    <w:rsid w:val="00686558"/>
    <w:rsid w:val="00693CEF"/>
    <w:rsid w:val="006A148D"/>
    <w:rsid w:val="006A7339"/>
    <w:rsid w:val="006A7E94"/>
    <w:rsid w:val="006B0467"/>
    <w:rsid w:val="006B04F6"/>
    <w:rsid w:val="006B10B1"/>
    <w:rsid w:val="006B150E"/>
    <w:rsid w:val="006B229D"/>
    <w:rsid w:val="006B3210"/>
    <w:rsid w:val="006B39CA"/>
    <w:rsid w:val="006B5456"/>
    <w:rsid w:val="006B5B4D"/>
    <w:rsid w:val="006B7EA8"/>
    <w:rsid w:val="006C09E7"/>
    <w:rsid w:val="006C0C36"/>
    <w:rsid w:val="006C4BBC"/>
    <w:rsid w:val="006C76BF"/>
    <w:rsid w:val="006C7E39"/>
    <w:rsid w:val="006D1D47"/>
    <w:rsid w:val="006D2DB3"/>
    <w:rsid w:val="006D355A"/>
    <w:rsid w:val="006D3A4B"/>
    <w:rsid w:val="006D451A"/>
    <w:rsid w:val="006D4A8D"/>
    <w:rsid w:val="006D54CD"/>
    <w:rsid w:val="006D636C"/>
    <w:rsid w:val="006D6582"/>
    <w:rsid w:val="006D6AC5"/>
    <w:rsid w:val="006E08B9"/>
    <w:rsid w:val="006E2B23"/>
    <w:rsid w:val="006F003F"/>
    <w:rsid w:val="006F11B4"/>
    <w:rsid w:val="006F4F31"/>
    <w:rsid w:val="006F6B75"/>
    <w:rsid w:val="00701C44"/>
    <w:rsid w:val="00703F56"/>
    <w:rsid w:val="007050FE"/>
    <w:rsid w:val="007103EE"/>
    <w:rsid w:val="0071297A"/>
    <w:rsid w:val="007134B9"/>
    <w:rsid w:val="00715BC2"/>
    <w:rsid w:val="00723994"/>
    <w:rsid w:val="00726333"/>
    <w:rsid w:val="00726B4E"/>
    <w:rsid w:val="00731289"/>
    <w:rsid w:val="007346E9"/>
    <w:rsid w:val="0073559D"/>
    <w:rsid w:val="00741565"/>
    <w:rsid w:val="00742F49"/>
    <w:rsid w:val="007454A5"/>
    <w:rsid w:val="00746023"/>
    <w:rsid w:val="00746B49"/>
    <w:rsid w:val="00750911"/>
    <w:rsid w:val="007534D9"/>
    <w:rsid w:val="00757445"/>
    <w:rsid w:val="007617AD"/>
    <w:rsid w:val="00761F48"/>
    <w:rsid w:val="00764E22"/>
    <w:rsid w:val="00767890"/>
    <w:rsid w:val="00773A87"/>
    <w:rsid w:val="00781FDB"/>
    <w:rsid w:val="00785594"/>
    <w:rsid w:val="00785985"/>
    <w:rsid w:val="00787649"/>
    <w:rsid w:val="00791B71"/>
    <w:rsid w:val="0079218B"/>
    <w:rsid w:val="00792315"/>
    <w:rsid w:val="007949F4"/>
    <w:rsid w:val="00797AD8"/>
    <w:rsid w:val="007A202F"/>
    <w:rsid w:val="007A24F7"/>
    <w:rsid w:val="007B0E2B"/>
    <w:rsid w:val="007B53F2"/>
    <w:rsid w:val="007B75A9"/>
    <w:rsid w:val="007C1AAC"/>
    <w:rsid w:val="007C2A47"/>
    <w:rsid w:val="007C2B1B"/>
    <w:rsid w:val="007C365D"/>
    <w:rsid w:val="007C4910"/>
    <w:rsid w:val="007D04CB"/>
    <w:rsid w:val="007D1CCD"/>
    <w:rsid w:val="007D2D5C"/>
    <w:rsid w:val="007D54DC"/>
    <w:rsid w:val="007D6B5E"/>
    <w:rsid w:val="007E17B2"/>
    <w:rsid w:val="007E2377"/>
    <w:rsid w:val="007E4AF7"/>
    <w:rsid w:val="007E51C3"/>
    <w:rsid w:val="007E5EAE"/>
    <w:rsid w:val="007F0578"/>
    <w:rsid w:val="007F096F"/>
    <w:rsid w:val="007F4D02"/>
    <w:rsid w:val="007F521B"/>
    <w:rsid w:val="007F5C3E"/>
    <w:rsid w:val="007F66B4"/>
    <w:rsid w:val="007F6872"/>
    <w:rsid w:val="007F7903"/>
    <w:rsid w:val="007F7D16"/>
    <w:rsid w:val="008018E8"/>
    <w:rsid w:val="00802B4C"/>
    <w:rsid w:val="008045ED"/>
    <w:rsid w:val="008051E9"/>
    <w:rsid w:val="00811589"/>
    <w:rsid w:val="008127B2"/>
    <w:rsid w:val="00814615"/>
    <w:rsid w:val="00817B9A"/>
    <w:rsid w:val="0082293C"/>
    <w:rsid w:val="00823ADD"/>
    <w:rsid w:val="00823D5B"/>
    <w:rsid w:val="0082748F"/>
    <w:rsid w:val="0083138B"/>
    <w:rsid w:val="0083576F"/>
    <w:rsid w:val="00835817"/>
    <w:rsid w:val="008366BD"/>
    <w:rsid w:val="00837C7A"/>
    <w:rsid w:val="00842CBA"/>
    <w:rsid w:val="008448A4"/>
    <w:rsid w:val="00846686"/>
    <w:rsid w:val="00850CD2"/>
    <w:rsid w:val="00851BA7"/>
    <w:rsid w:val="00852AE0"/>
    <w:rsid w:val="00852C65"/>
    <w:rsid w:val="00853B92"/>
    <w:rsid w:val="008605B9"/>
    <w:rsid w:val="00860A40"/>
    <w:rsid w:val="00864177"/>
    <w:rsid w:val="008645AB"/>
    <w:rsid w:val="00864C6E"/>
    <w:rsid w:val="00867F21"/>
    <w:rsid w:val="008718BC"/>
    <w:rsid w:val="008726DC"/>
    <w:rsid w:val="0088528E"/>
    <w:rsid w:val="008854F3"/>
    <w:rsid w:val="00891A5C"/>
    <w:rsid w:val="00891A93"/>
    <w:rsid w:val="008978C4"/>
    <w:rsid w:val="008A2888"/>
    <w:rsid w:val="008A318E"/>
    <w:rsid w:val="008A6361"/>
    <w:rsid w:val="008A66EA"/>
    <w:rsid w:val="008B2DC5"/>
    <w:rsid w:val="008B61C8"/>
    <w:rsid w:val="008B7556"/>
    <w:rsid w:val="008C0314"/>
    <w:rsid w:val="008C04AA"/>
    <w:rsid w:val="008C0D55"/>
    <w:rsid w:val="008C15C1"/>
    <w:rsid w:val="008C3B0C"/>
    <w:rsid w:val="008C4EF2"/>
    <w:rsid w:val="008C520C"/>
    <w:rsid w:val="008C5309"/>
    <w:rsid w:val="008D30C9"/>
    <w:rsid w:val="008D5998"/>
    <w:rsid w:val="008D7542"/>
    <w:rsid w:val="008D7755"/>
    <w:rsid w:val="008E0212"/>
    <w:rsid w:val="008E65B2"/>
    <w:rsid w:val="008F1AE4"/>
    <w:rsid w:val="008F1DC3"/>
    <w:rsid w:val="008F1DF8"/>
    <w:rsid w:val="008F2159"/>
    <w:rsid w:val="008F3E49"/>
    <w:rsid w:val="00901428"/>
    <w:rsid w:val="00902164"/>
    <w:rsid w:val="0090229E"/>
    <w:rsid w:val="00903416"/>
    <w:rsid w:val="009042B5"/>
    <w:rsid w:val="0090433F"/>
    <w:rsid w:val="00907BEB"/>
    <w:rsid w:val="009148CD"/>
    <w:rsid w:val="0092220B"/>
    <w:rsid w:val="00925D66"/>
    <w:rsid w:val="00930680"/>
    <w:rsid w:val="00932557"/>
    <w:rsid w:val="00933C2B"/>
    <w:rsid w:val="00934149"/>
    <w:rsid w:val="00934684"/>
    <w:rsid w:val="00937FFA"/>
    <w:rsid w:val="009413B4"/>
    <w:rsid w:val="00942861"/>
    <w:rsid w:val="00946FEE"/>
    <w:rsid w:val="00947724"/>
    <w:rsid w:val="00947DCF"/>
    <w:rsid w:val="00950F27"/>
    <w:rsid w:val="009563C5"/>
    <w:rsid w:val="00956C33"/>
    <w:rsid w:val="00957855"/>
    <w:rsid w:val="00957F68"/>
    <w:rsid w:val="00964562"/>
    <w:rsid w:val="00965201"/>
    <w:rsid w:val="00971FF9"/>
    <w:rsid w:val="00975207"/>
    <w:rsid w:val="0097582F"/>
    <w:rsid w:val="00981E26"/>
    <w:rsid w:val="00982401"/>
    <w:rsid w:val="00991E84"/>
    <w:rsid w:val="00992738"/>
    <w:rsid w:val="00994622"/>
    <w:rsid w:val="00994659"/>
    <w:rsid w:val="009951BD"/>
    <w:rsid w:val="00995394"/>
    <w:rsid w:val="00995520"/>
    <w:rsid w:val="00995D94"/>
    <w:rsid w:val="00995EAD"/>
    <w:rsid w:val="00996A0D"/>
    <w:rsid w:val="009A3734"/>
    <w:rsid w:val="009A63EB"/>
    <w:rsid w:val="009B11BC"/>
    <w:rsid w:val="009B2E4D"/>
    <w:rsid w:val="009C2425"/>
    <w:rsid w:val="009C34EB"/>
    <w:rsid w:val="009C4045"/>
    <w:rsid w:val="009D2559"/>
    <w:rsid w:val="009D2FAF"/>
    <w:rsid w:val="009D7D87"/>
    <w:rsid w:val="009E3F80"/>
    <w:rsid w:val="009E5E02"/>
    <w:rsid w:val="009E75DD"/>
    <w:rsid w:val="009F5394"/>
    <w:rsid w:val="009F63BE"/>
    <w:rsid w:val="009F7545"/>
    <w:rsid w:val="00A01A0D"/>
    <w:rsid w:val="00A022DC"/>
    <w:rsid w:val="00A02D90"/>
    <w:rsid w:val="00A03877"/>
    <w:rsid w:val="00A03B15"/>
    <w:rsid w:val="00A04B5D"/>
    <w:rsid w:val="00A06440"/>
    <w:rsid w:val="00A1124C"/>
    <w:rsid w:val="00A14A69"/>
    <w:rsid w:val="00A1562C"/>
    <w:rsid w:val="00A20296"/>
    <w:rsid w:val="00A20ECA"/>
    <w:rsid w:val="00A21099"/>
    <w:rsid w:val="00A22162"/>
    <w:rsid w:val="00A226CA"/>
    <w:rsid w:val="00A24FE4"/>
    <w:rsid w:val="00A27045"/>
    <w:rsid w:val="00A3276E"/>
    <w:rsid w:val="00A41326"/>
    <w:rsid w:val="00A4318D"/>
    <w:rsid w:val="00A450AF"/>
    <w:rsid w:val="00A4570F"/>
    <w:rsid w:val="00A459CE"/>
    <w:rsid w:val="00A4786B"/>
    <w:rsid w:val="00A536A4"/>
    <w:rsid w:val="00A54408"/>
    <w:rsid w:val="00A560E3"/>
    <w:rsid w:val="00A563DD"/>
    <w:rsid w:val="00A56FD4"/>
    <w:rsid w:val="00A6239B"/>
    <w:rsid w:val="00A631D8"/>
    <w:rsid w:val="00A64800"/>
    <w:rsid w:val="00A654B6"/>
    <w:rsid w:val="00A71665"/>
    <w:rsid w:val="00A74C99"/>
    <w:rsid w:val="00A80737"/>
    <w:rsid w:val="00A80907"/>
    <w:rsid w:val="00A837EC"/>
    <w:rsid w:val="00A849CB"/>
    <w:rsid w:val="00A85C4B"/>
    <w:rsid w:val="00A86BB8"/>
    <w:rsid w:val="00A906BF"/>
    <w:rsid w:val="00A95A2D"/>
    <w:rsid w:val="00A96BCF"/>
    <w:rsid w:val="00A97916"/>
    <w:rsid w:val="00A97DD1"/>
    <w:rsid w:val="00A97F8C"/>
    <w:rsid w:val="00AA15B0"/>
    <w:rsid w:val="00AA1F53"/>
    <w:rsid w:val="00AA2402"/>
    <w:rsid w:val="00AA6385"/>
    <w:rsid w:val="00AA7BCD"/>
    <w:rsid w:val="00AA7FD3"/>
    <w:rsid w:val="00AB08B6"/>
    <w:rsid w:val="00AB3F46"/>
    <w:rsid w:val="00AC2559"/>
    <w:rsid w:val="00AC5A8E"/>
    <w:rsid w:val="00AC6F8E"/>
    <w:rsid w:val="00AC761E"/>
    <w:rsid w:val="00AC7E12"/>
    <w:rsid w:val="00AD20B7"/>
    <w:rsid w:val="00AD3BAC"/>
    <w:rsid w:val="00AD4252"/>
    <w:rsid w:val="00AD5A82"/>
    <w:rsid w:val="00AD5EC0"/>
    <w:rsid w:val="00AD72E8"/>
    <w:rsid w:val="00AE0004"/>
    <w:rsid w:val="00AE7048"/>
    <w:rsid w:val="00AE751B"/>
    <w:rsid w:val="00AF018F"/>
    <w:rsid w:val="00AF4368"/>
    <w:rsid w:val="00AF46A7"/>
    <w:rsid w:val="00AF501A"/>
    <w:rsid w:val="00AF5CC5"/>
    <w:rsid w:val="00B002BF"/>
    <w:rsid w:val="00B003CF"/>
    <w:rsid w:val="00B004B0"/>
    <w:rsid w:val="00B005B4"/>
    <w:rsid w:val="00B03B73"/>
    <w:rsid w:val="00B053A0"/>
    <w:rsid w:val="00B055A2"/>
    <w:rsid w:val="00B05C8C"/>
    <w:rsid w:val="00B0716D"/>
    <w:rsid w:val="00B103DB"/>
    <w:rsid w:val="00B1230F"/>
    <w:rsid w:val="00B12736"/>
    <w:rsid w:val="00B129E5"/>
    <w:rsid w:val="00B17F58"/>
    <w:rsid w:val="00B2018F"/>
    <w:rsid w:val="00B20AC2"/>
    <w:rsid w:val="00B2514D"/>
    <w:rsid w:val="00B26276"/>
    <w:rsid w:val="00B278FE"/>
    <w:rsid w:val="00B4061E"/>
    <w:rsid w:val="00B40ADA"/>
    <w:rsid w:val="00B43D89"/>
    <w:rsid w:val="00B461DD"/>
    <w:rsid w:val="00B47B50"/>
    <w:rsid w:val="00B518C7"/>
    <w:rsid w:val="00B51A63"/>
    <w:rsid w:val="00B52AA9"/>
    <w:rsid w:val="00B52E39"/>
    <w:rsid w:val="00B564D9"/>
    <w:rsid w:val="00B573B6"/>
    <w:rsid w:val="00B62D8F"/>
    <w:rsid w:val="00B66166"/>
    <w:rsid w:val="00B72C68"/>
    <w:rsid w:val="00B73A84"/>
    <w:rsid w:val="00B741F4"/>
    <w:rsid w:val="00B751A9"/>
    <w:rsid w:val="00B757B9"/>
    <w:rsid w:val="00B75ED6"/>
    <w:rsid w:val="00B771CB"/>
    <w:rsid w:val="00B804E0"/>
    <w:rsid w:val="00B8058B"/>
    <w:rsid w:val="00B824C8"/>
    <w:rsid w:val="00B83D1B"/>
    <w:rsid w:val="00B84F53"/>
    <w:rsid w:val="00B865FB"/>
    <w:rsid w:val="00B94CA2"/>
    <w:rsid w:val="00B9632D"/>
    <w:rsid w:val="00B97DA1"/>
    <w:rsid w:val="00BA04C9"/>
    <w:rsid w:val="00BA4E4E"/>
    <w:rsid w:val="00BA6B78"/>
    <w:rsid w:val="00BA7E42"/>
    <w:rsid w:val="00BB3077"/>
    <w:rsid w:val="00BB4222"/>
    <w:rsid w:val="00BB442D"/>
    <w:rsid w:val="00BC288C"/>
    <w:rsid w:val="00BC2ECC"/>
    <w:rsid w:val="00BC3EF6"/>
    <w:rsid w:val="00BD0167"/>
    <w:rsid w:val="00BD0DC6"/>
    <w:rsid w:val="00BD2A0B"/>
    <w:rsid w:val="00BD5390"/>
    <w:rsid w:val="00BD7AD9"/>
    <w:rsid w:val="00BE03ED"/>
    <w:rsid w:val="00BE2474"/>
    <w:rsid w:val="00BE4346"/>
    <w:rsid w:val="00BE5D54"/>
    <w:rsid w:val="00BE6E71"/>
    <w:rsid w:val="00BF0A88"/>
    <w:rsid w:val="00BF57B1"/>
    <w:rsid w:val="00BF5A03"/>
    <w:rsid w:val="00C02086"/>
    <w:rsid w:val="00C049F2"/>
    <w:rsid w:val="00C127FE"/>
    <w:rsid w:val="00C13A19"/>
    <w:rsid w:val="00C15EE6"/>
    <w:rsid w:val="00C15F00"/>
    <w:rsid w:val="00C16544"/>
    <w:rsid w:val="00C174DD"/>
    <w:rsid w:val="00C17CD0"/>
    <w:rsid w:val="00C20073"/>
    <w:rsid w:val="00C2195A"/>
    <w:rsid w:val="00C22908"/>
    <w:rsid w:val="00C258EE"/>
    <w:rsid w:val="00C259B6"/>
    <w:rsid w:val="00C25F22"/>
    <w:rsid w:val="00C31116"/>
    <w:rsid w:val="00C31FDB"/>
    <w:rsid w:val="00C3688D"/>
    <w:rsid w:val="00C4032F"/>
    <w:rsid w:val="00C40C61"/>
    <w:rsid w:val="00C440F6"/>
    <w:rsid w:val="00C45019"/>
    <w:rsid w:val="00C46BF2"/>
    <w:rsid w:val="00C479C3"/>
    <w:rsid w:val="00C5052E"/>
    <w:rsid w:val="00C53147"/>
    <w:rsid w:val="00C545D5"/>
    <w:rsid w:val="00C54615"/>
    <w:rsid w:val="00C55C3D"/>
    <w:rsid w:val="00C560A0"/>
    <w:rsid w:val="00C61484"/>
    <w:rsid w:val="00C65E3F"/>
    <w:rsid w:val="00C706B9"/>
    <w:rsid w:val="00C70D90"/>
    <w:rsid w:val="00C74226"/>
    <w:rsid w:val="00C75357"/>
    <w:rsid w:val="00C75A4D"/>
    <w:rsid w:val="00C7627B"/>
    <w:rsid w:val="00C76446"/>
    <w:rsid w:val="00C81733"/>
    <w:rsid w:val="00C824FA"/>
    <w:rsid w:val="00C83D51"/>
    <w:rsid w:val="00C840E1"/>
    <w:rsid w:val="00C84203"/>
    <w:rsid w:val="00C874D8"/>
    <w:rsid w:val="00C949C8"/>
    <w:rsid w:val="00C973E8"/>
    <w:rsid w:val="00CA5B5E"/>
    <w:rsid w:val="00CA6B9D"/>
    <w:rsid w:val="00CA6C22"/>
    <w:rsid w:val="00CB1D87"/>
    <w:rsid w:val="00CB3F46"/>
    <w:rsid w:val="00CB57E3"/>
    <w:rsid w:val="00CC0508"/>
    <w:rsid w:val="00CC0951"/>
    <w:rsid w:val="00CD105A"/>
    <w:rsid w:val="00CD10C1"/>
    <w:rsid w:val="00CD4B3A"/>
    <w:rsid w:val="00CD5669"/>
    <w:rsid w:val="00CD7CDC"/>
    <w:rsid w:val="00CE6A4C"/>
    <w:rsid w:val="00CF1D11"/>
    <w:rsid w:val="00CF73AA"/>
    <w:rsid w:val="00D01EE8"/>
    <w:rsid w:val="00D01FAE"/>
    <w:rsid w:val="00D04529"/>
    <w:rsid w:val="00D06FF7"/>
    <w:rsid w:val="00D115A6"/>
    <w:rsid w:val="00D14871"/>
    <w:rsid w:val="00D15070"/>
    <w:rsid w:val="00D17263"/>
    <w:rsid w:val="00D2176A"/>
    <w:rsid w:val="00D25FFF"/>
    <w:rsid w:val="00D274F7"/>
    <w:rsid w:val="00D305FD"/>
    <w:rsid w:val="00D32E9B"/>
    <w:rsid w:val="00D354A9"/>
    <w:rsid w:val="00D35881"/>
    <w:rsid w:val="00D40A9D"/>
    <w:rsid w:val="00D4354E"/>
    <w:rsid w:val="00D47511"/>
    <w:rsid w:val="00D51EB0"/>
    <w:rsid w:val="00D5372B"/>
    <w:rsid w:val="00D54799"/>
    <w:rsid w:val="00D54E89"/>
    <w:rsid w:val="00D55078"/>
    <w:rsid w:val="00D555CB"/>
    <w:rsid w:val="00D60B56"/>
    <w:rsid w:val="00D6151B"/>
    <w:rsid w:val="00D620B0"/>
    <w:rsid w:val="00D62121"/>
    <w:rsid w:val="00D62226"/>
    <w:rsid w:val="00D62E17"/>
    <w:rsid w:val="00D63B71"/>
    <w:rsid w:val="00D648D0"/>
    <w:rsid w:val="00D65290"/>
    <w:rsid w:val="00D65D70"/>
    <w:rsid w:val="00D731E1"/>
    <w:rsid w:val="00D75CA1"/>
    <w:rsid w:val="00D76311"/>
    <w:rsid w:val="00D803C4"/>
    <w:rsid w:val="00D82041"/>
    <w:rsid w:val="00D8340B"/>
    <w:rsid w:val="00D84DCA"/>
    <w:rsid w:val="00D858A7"/>
    <w:rsid w:val="00D87E0A"/>
    <w:rsid w:val="00D91182"/>
    <w:rsid w:val="00D92242"/>
    <w:rsid w:val="00D927A2"/>
    <w:rsid w:val="00D94DF9"/>
    <w:rsid w:val="00D965DA"/>
    <w:rsid w:val="00D97202"/>
    <w:rsid w:val="00D97FA7"/>
    <w:rsid w:val="00DA4C2E"/>
    <w:rsid w:val="00DA5E5B"/>
    <w:rsid w:val="00DA61CF"/>
    <w:rsid w:val="00DA7B71"/>
    <w:rsid w:val="00DB0267"/>
    <w:rsid w:val="00DB3336"/>
    <w:rsid w:val="00DB4B34"/>
    <w:rsid w:val="00DB75A6"/>
    <w:rsid w:val="00DB7D56"/>
    <w:rsid w:val="00DC238F"/>
    <w:rsid w:val="00DC34DE"/>
    <w:rsid w:val="00DC3CD1"/>
    <w:rsid w:val="00DC7A66"/>
    <w:rsid w:val="00DC7DD1"/>
    <w:rsid w:val="00DC7F9A"/>
    <w:rsid w:val="00DD4924"/>
    <w:rsid w:val="00DD5BCE"/>
    <w:rsid w:val="00DD69C0"/>
    <w:rsid w:val="00DD7D36"/>
    <w:rsid w:val="00DE22B9"/>
    <w:rsid w:val="00DE3C74"/>
    <w:rsid w:val="00DE6943"/>
    <w:rsid w:val="00DE6EB2"/>
    <w:rsid w:val="00DE797E"/>
    <w:rsid w:val="00DF089C"/>
    <w:rsid w:val="00DF349E"/>
    <w:rsid w:val="00DF35A0"/>
    <w:rsid w:val="00DF42F2"/>
    <w:rsid w:val="00DF55A7"/>
    <w:rsid w:val="00DF57D8"/>
    <w:rsid w:val="00DF5B15"/>
    <w:rsid w:val="00DF6DEC"/>
    <w:rsid w:val="00DF7902"/>
    <w:rsid w:val="00E0506E"/>
    <w:rsid w:val="00E103B6"/>
    <w:rsid w:val="00E10AC3"/>
    <w:rsid w:val="00E11F28"/>
    <w:rsid w:val="00E150D9"/>
    <w:rsid w:val="00E15153"/>
    <w:rsid w:val="00E16547"/>
    <w:rsid w:val="00E17E7F"/>
    <w:rsid w:val="00E24EE2"/>
    <w:rsid w:val="00E25512"/>
    <w:rsid w:val="00E27663"/>
    <w:rsid w:val="00E33E71"/>
    <w:rsid w:val="00E352C4"/>
    <w:rsid w:val="00E3682E"/>
    <w:rsid w:val="00E37F2E"/>
    <w:rsid w:val="00E41503"/>
    <w:rsid w:val="00E43240"/>
    <w:rsid w:val="00E46BA2"/>
    <w:rsid w:val="00E5095E"/>
    <w:rsid w:val="00E51DE9"/>
    <w:rsid w:val="00E56DA0"/>
    <w:rsid w:val="00E5755B"/>
    <w:rsid w:val="00E57E6E"/>
    <w:rsid w:val="00E57E81"/>
    <w:rsid w:val="00E606D5"/>
    <w:rsid w:val="00E62588"/>
    <w:rsid w:val="00E70AC3"/>
    <w:rsid w:val="00E75C1A"/>
    <w:rsid w:val="00E8042C"/>
    <w:rsid w:val="00E80743"/>
    <w:rsid w:val="00E81417"/>
    <w:rsid w:val="00E829BB"/>
    <w:rsid w:val="00E90164"/>
    <w:rsid w:val="00E909B5"/>
    <w:rsid w:val="00E90A4D"/>
    <w:rsid w:val="00E90AD4"/>
    <w:rsid w:val="00E92CA2"/>
    <w:rsid w:val="00E9505A"/>
    <w:rsid w:val="00E97402"/>
    <w:rsid w:val="00E97410"/>
    <w:rsid w:val="00EA1DFB"/>
    <w:rsid w:val="00EA4E05"/>
    <w:rsid w:val="00EA5252"/>
    <w:rsid w:val="00EA71A9"/>
    <w:rsid w:val="00EB15C0"/>
    <w:rsid w:val="00EB2D68"/>
    <w:rsid w:val="00EB2FEB"/>
    <w:rsid w:val="00EB4575"/>
    <w:rsid w:val="00EB68E0"/>
    <w:rsid w:val="00EC0772"/>
    <w:rsid w:val="00EC4B02"/>
    <w:rsid w:val="00ED0546"/>
    <w:rsid w:val="00ED52CD"/>
    <w:rsid w:val="00ED58DC"/>
    <w:rsid w:val="00ED7009"/>
    <w:rsid w:val="00EE070B"/>
    <w:rsid w:val="00EE4627"/>
    <w:rsid w:val="00EE51F3"/>
    <w:rsid w:val="00EE59FA"/>
    <w:rsid w:val="00EF0899"/>
    <w:rsid w:val="00EF2575"/>
    <w:rsid w:val="00EF3018"/>
    <w:rsid w:val="00EF48F0"/>
    <w:rsid w:val="00EF4B82"/>
    <w:rsid w:val="00EF7151"/>
    <w:rsid w:val="00F00A64"/>
    <w:rsid w:val="00F0325B"/>
    <w:rsid w:val="00F12249"/>
    <w:rsid w:val="00F129B5"/>
    <w:rsid w:val="00F12B4A"/>
    <w:rsid w:val="00F143B8"/>
    <w:rsid w:val="00F15452"/>
    <w:rsid w:val="00F1572C"/>
    <w:rsid w:val="00F17A2F"/>
    <w:rsid w:val="00F210E4"/>
    <w:rsid w:val="00F226E6"/>
    <w:rsid w:val="00F31274"/>
    <w:rsid w:val="00F34977"/>
    <w:rsid w:val="00F358F1"/>
    <w:rsid w:val="00F35A38"/>
    <w:rsid w:val="00F41D88"/>
    <w:rsid w:val="00F44109"/>
    <w:rsid w:val="00F46C32"/>
    <w:rsid w:val="00F47082"/>
    <w:rsid w:val="00F547A2"/>
    <w:rsid w:val="00F551F3"/>
    <w:rsid w:val="00F5531F"/>
    <w:rsid w:val="00F55B34"/>
    <w:rsid w:val="00F568B0"/>
    <w:rsid w:val="00F57AD5"/>
    <w:rsid w:val="00F57E28"/>
    <w:rsid w:val="00F61863"/>
    <w:rsid w:val="00F65105"/>
    <w:rsid w:val="00F71D3B"/>
    <w:rsid w:val="00F72A67"/>
    <w:rsid w:val="00F73D3C"/>
    <w:rsid w:val="00F765D5"/>
    <w:rsid w:val="00F76735"/>
    <w:rsid w:val="00F76EEB"/>
    <w:rsid w:val="00F921CC"/>
    <w:rsid w:val="00F942F0"/>
    <w:rsid w:val="00F97A77"/>
    <w:rsid w:val="00FA295D"/>
    <w:rsid w:val="00FA6000"/>
    <w:rsid w:val="00FB0EBA"/>
    <w:rsid w:val="00FB2342"/>
    <w:rsid w:val="00FB2737"/>
    <w:rsid w:val="00FC0D3C"/>
    <w:rsid w:val="00FC0D43"/>
    <w:rsid w:val="00FC1156"/>
    <w:rsid w:val="00FC300A"/>
    <w:rsid w:val="00FC3629"/>
    <w:rsid w:val="00FC3B9D"/>
    <w:rsid w:val="00FC5A24"/>
    <w:rsid w:val="00FD1246"/>
    <w:rsid w:val="00FD1294"/>
    <w:rsid w:val="00FE7499"/>
    <w:rsid w:val="00FE7B64"/>
    <w:rsid w:val="00FF0DED"/>
    <w:rsid w:val="00FF20D8"/>
    <w:rsid w:val="00FF2150"/>
    <w:rsid w:val="00FF237F"/>
    <w:rsid w:val="00FF5483"/>
    <w:rsid w:val="00FF7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709C8B1-6A8A-43F5-AA72-E00A1232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F21"/>
    <w:pPr>
      <w:jc w:val="both"/>
    </w:pPr>
    <w:rPr>
      <w:rFonts w:ascii="Calibri" w:hAnsi="Calibri" w:cs="宋体"/>
      <w:sz w:val="21"/>
      <w:szCs w:val="21"/>
    </w:rPr>
  </w:style>
  <w:style w:type="paragraph" w:styleId="1">
    <w:name w:val="heading 1"/>
    <w:basedOn w:val="a"/>
    <w:next w:val="a"/>
    <w:link w:val="1Char"/>
    <w:qFormat/>
    <w:rsid w:val="001A7CDB"/>
    <w:pPr>
      <w:keepNext/>
      <w:widowControl w:val="0"/>
      <w:spacing w:beforeLines="100" w:afterLines="100"/>
      <w:ind w:firstLineChars="200" w:firstLine="200"/>
      <w:jc w:val="center"/>
      <w:outlineLvl w:val="0"/>
    </w:pPr>
    <w:rPr>
      <w:rFonts w:ascii="黑体" w:eastAsia="黑体" w:hAnsi="Times New Roman" w:cs="Times New Roman"/>
      <w:kern w:val="2"/>
      <w:sz w:val="32"/>
      <w:szCs w:val="32"/>
    </w:rPr>
  </w:style>
  <w:style w:type="paragraph" w:styleId="20">
    <w:name w:val="heading 2"/>
    <w:aliases w:val="H2,Heading 2 Hidden,Heading 2 CCBS,标题 2 Char Char,2nd level,h2,2,Header 2,PIM2,l2,Level 2 Head,proj2,proj21,proj22,proj23,proj24,proj25,proj26,proj27,proj28,proj29,proj210,proj211,proj212,proj221,proj231,proj241,proj251,proj261,proj271,proj281"/>
    <w:basedOn w:val="a"/>
    <w:next w:val="a"/>
    <w:link w:val="2Char"/>
    <w:qFormat/>
    <w:rsid w:val="001A7CDB"/>
    <w:pPr>
      <w:keepNext/>
      <w:keepLines/>
      <w:widowControl w:val="0"/>
      <w:spacing w:beforeLines="100" w:afterLines="100"/>
      <w:ind w:firstLineChars="200" w:firstLine="200"/>
      <w:outlineLvl w:val="1"/>
    </w:pPr>
    <w:rPr>
      <w:rFonts w:ascii="Arial" w:hAnsi="Arial" w:cs="Times New Roman"/>
      <w:b/>
      <w:kern w:val="2"/>
      <w:sz w:val="28"/>
      <w:szCs w:val="28"/>
    </w:rPr>
  </w:style>
  <w:style w:type="paragraph" w:styleId="3">
    <w:name w:val="heading 3"/>
    <w:aliases w:val="Bold Head,bh,h3,Level 3 Head,H3,l3,CT,Heading 3 - old,3rd level,level_3,PIM 3,sect1.2.3,3,heading 3,标题 4.1.1,Fab-3,sect1.2.31,sect1.2.32,sect1.2.311,sect1.2.33,sect1.2.312,Title3,sl3,Heading 3under,- Maj Side,prop3,3heading,Heading 31,Map,H31,HeadC"/>
    <w:basedOn w:val="a"/>
    <w:next w:val="a"/>
    <w:link w:val="3Char"/>
    <w:qFormat/>
    <w:rsid w:val="001A7CDB"/>
    <w:pPr>
      <w:widowControl w:val="0"/>
      <w:numPr>
        <w:ilvl w:val="2"/>
        <w:numId w:val="3"/>
      </w:numPr>
      <w:spacing w:before="260" w:after="260" w:line="416" w:lineRule="auto"/>
      <w:outlineLvl w:val="2"/>
    </w:pPr>
    <w:rPr>
      <w:rFonts w:ascii="仿宋_GB2312" w:eastAsia="仿宋_GB2312" w:hAnsi="Times New Roman" w:cs="Times New Roman"/>
      <w:kern w:val="2"/>
      <w:sz w:val="24"/>
      <w:szCs w:val="20"/>
    </w:rPr>
  </w:style>
  <w:style w:type="paragraph" w:styleId="4">
    <w:name w:val="heading 4"/>
    <w:aliases w:val="H4,PIM 4,h4,Fab-4,T5,Ref Heading 1,rh1,Heading sql,sect 1.2.3.4"/>
    <w:basedOn w:val="a"/>
    <w:next w:val="a"/>
    <w:link w:val="4Char"/>
    <w:qFormat/>
    <w:rsid w:val="001A7CDB"/>
    <w:pPr>
      <w:keepNext/>
      <w:keepLines/>
      <w:widowControl w:val="0"/>
      <w:numPr>
        <w:ilvl w:val="3"/>
        <w:numId w:val="2"/>
      </w:numPr>
      <w:spacing w:before="280" w:after="290" w:line="376" w:lineRule="auto"/>
      <w:outlineLvl w:val="3"/>
    </w:pPr>
    <w:rPr>
      <w:rFonts w:ascii="Arial" w:eastAsia="黑体" w:hAnsi="Arial" w:cs="Times New Roman"/>
      <w:b/>
      <w:bCs/>
      <w:kern w:val="2"/>
      <w:sz w:val="28"/>
      <w:szCs w:val="28"/>
    </w:rPr>
  </w:style>
  <w:style w:type="paragraph" w:styleId="5">
    <w:name w:val="heading 5"/>
    <w:basedOn w:val="a"/>
    <w:next w:val="a"/>
    <w:link w:val="5Char"/>
    <w:qFormat/>
    <w:rsid w:val="001A7CDB"/>
    <w:pPr>
      <w:keepNext/>
      <w:keepLines/>
      <w:widowControl w:val="0"/>
      <w:numPr>
        <w:ilvl w:val="4"/>
        <w:numId w:val="2"/>
      </w:numPr>
      <w:spacing w:before="280" w:after="290" w:line="376" w:lineRule="auto"/>
      <w:ind w:firstLineChars="200" w:firstLine="200"/>
      <w:outlineLvl w:val="4"/>
    </w:pPr>
    <w:rPr>
      <w:rFonts w:ascii="Times New Roman" w:hAnsi="Times New Roman" w:cs="Times New Roman"/>
      <w:b/>
      <w:bCs/>
      <w:kern w:val="2"/>
      <w:sz w:val="28"/>
      <w:szCs w:val="28"/>
    </w:rPr>
  </w:style>
  <w:style w:type="paragraph" w:styleId="6">
    <w:name w:val="heading 6"/>
    <w:basedOn w:val="a"/>
    <w:next w:val="a"/>
    <w:link w:val="6Char"/>
    <w:qFormat/>
    <w:rsid w:val="001A7CDB"/>
    <w:pPr>
      <w:keepNext/>
      <w:keepLines/>
      <w:widowControl w:val="0"/>
      <w:numPr>
        <w:ilvl w:val="5"/>
        <w:numId w:val="2"/>
      </w:numPr>
      <w:spacing w:before="240" w:after="64" w:line="320" w:lineRule="auto"/>
      <w:ind w:firstLineChars="200" w:firstLine="200"/>
      <w:outlineLvl w:val="5"/>
    </w:pPr>
    <w:rPr>
      <w:rFonts w:ascii="Arial" w:eastAsia="黑体" w:hAnsi="Arial" w:cs="Times New Roman"/>
      <w:b/>
      <w:bCs/>
      <w:kern w:val="2"/>
      <w:sz w:val="24"/>
      <w:szCs w:val="24"/>
    </w:rPr>
  </w:style>
  <w:style w:type="paragraph" w:styleId="7">
    <w:name w:val="heading 7"/>
    <w:basedOn w:val="a"/>
    <w:next w:val="a"/>
    <w:link w:val="7Char"/>
    <w:qFormat/>
    <w:rsid w:val="001A7CDB"/>
    <w:pPr>
      <w:keepNext/>
      <w:keepLines/>
      <w:widowControl w:val="0"/>
      <w:numPr>
        <w:ilvl w:val="6"/>
        <w:numId w:val="2"/>
      </w:numPr>
      <w:spacing w:before="240" w:after="64" w:line="320" w:lineRule="auto"/>
      <w:ind w:firstLineChars="200" w:firstLine="200"/>
      <w:outlineLvl w:val="6"/>
    </w:pPr>
    <w:rPr>
      <w:rFonts w:ascii="Times New Roman" w:hAnsi="Times New Roman" w:cs="Times New Roman"/>
      <w:b/>
      <w:bCs/>
      <w:kern w:val="2"/>
      <w:sz w:val="24"/>
      <w:szCs w:val="24"/>
    </w:rPr>
  </w:style>
  <w:style w:type="paragraph" w:styleId="8">
    <w:name w:val="heading 8"/>
    <w:basedOn w:val="a"/>
    <w:next w:val="a"/>
    <w:link w:val="8Char"/>
    <w:qFormat/>
    <w:rsid w:val="001A7CDB"/>
    <w:pPr>
      <w:keepNext/>
      <w:keepLines/>
      <w:widowControl w:val="0"/>
      <w:numPr>
        <w:ilvl w:val="7"/>
        <w:numId w:val="2"/>
      </w:numPr>
      <w:spacing w:before="240" w:after="64" w:line="320" w:lineRule="auto"/>
      <w:ind w:firstLineChars="200" w:firstLine="200"/>
      <w:outlineLvl w:val="7"/>
    </w:pPr>
    <w:rPr>
      <w:rFonts w:ascii="Arial" w:eastAsia="黑体" w:hAnsi="Arial" w:cs="Times New Roman"/>
      <w:kern w:val="2"/>
      <w:sz w:val="24"/>
      <w:szCs w:val="24"/>
    </w:rPr>
  </w:style>
  <w:style w:type="paragraph" w:styleId="9">
    <w:name w:val="heading 9"/>
    <w:basedOn w:val="a"/>
    <w:next w:val="a"/>
    <w:link w:val="9Char"/>
    <w:qFormat/>
    <w:rsid w:val="001A7CDB"/>
    <w:pPr>
      <w:keepNext/>
      <w:keepLines/>
      <w:widowControl w:val="0"/>
      <w:numPr>
        <w:ilvl w:val="8"/>
        <w:numId w:val="2"/>
      </w:numPr>
      <w:spacing w:before="240" w:after="64" w:line="320" w:lineRule="auto"/>
      <w:ind w:firstLineChars="200" w:firstLine="200"/>
      <w:outlineLvl w:val="8"/>
    </w:pPr>
    <w:rPr>
      <w:rFonts w:ascii="Arial" w:eastAsia="黑体" w:hAnsi="Arial"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A7CDB"/>
    <w:rPr>
      <w:rFonts w:ascii="黑体" w:eastAsia="黑体"/>
      <w:kern w:val="2"/>
      <w:sz w:val="32"/>
      <w:szCs w:val="32"/>
    </w:rPr>
  </w:style>
  <w:style w:type="character" w:customStyle="1" w:styleId="2Char">
    <w:name w:val="标题 2 Char"/>
    <w:aliases w:val="H2 Char,Heading 2 Hidden Char,Heading 2 CCBS Char,标题 2 Char Char Char,2nd level Char,h2 Char,2 Char,Header 2 Char,PIM2 Char,l2 Char,Level 2 Head Char,proj2 Char,proj21 Char,proj22 Char,proj23 Char,proj24 Char,proj25 Char,proj26 Char"/>
    <w:basedOn w:val="a0"/>
    <w:link w:val="20"/>
    <w:rsid w:val="001A7CDB"/>
    <w:rPr>
      <w:rFonts w:ascii="Arial" w:hAnsi="Arial"/>
      <w:b/>
      <w:kern w:val="2"/>
      <w:sz w:val="28"/>
      <w:szCs w:val="28"/>
    </w:rPr>
  </w:style>
  <w:style w:type="character" w:customStyle="1" w:styleId="3Char">
    <w:name w:val="标题 3 Char"/>
    <w:aliases w:val="Bold Head Char,bh Char,h3 Char,Level 3 Head Char,H3 Char,l3 Char,CT Char,Heading 3 - old Char,3rd level Char,level_3 Char,PIM 3 Char,sect1.2.3 Char,3 Char,heading 3 Char,标题 4.1.1 Char,Fab-3 Char,sect1.2.31 Char,sect1.2.32 Char,sect1.2.311 Char"/>
    <w:basedOn w:val="a0"/>
    <w:link w:val="3"/>
    <w:rsid w:val="001A7CDB"/>
    <w:rPr>
      <w:rFonts w:ascii="仿宋_GB2312" w:eastAsia="仿宋_GB2312"/>
      <w:kern w:val="2"/>
      <w:sz w:val="24"/>
    </w:rPr>
  </w:style>
  <w:style w:type="character" w:customStyle="1" w:styleId="4Char">
    <w:name w:val="标题 4 Char"/>
    <w:aliases w:val="H4 Char,PIM 4 Char,h4 Char,Fab-4 Char,T5 Char,Ref Heading 1 Char,rh1 Char,Heading sql Char,sect 1.2.3.4 Char"/>
    <w:basedOn w:val="a0"/>
    <w:link w:val="4"/>
    <w:rsid w:val="001A7CDB"/>
    <w:rPr>
      <w:rFonts w:ascii="Arial" w:eastAsia="黑体" w:hAnsi="Arial"/>
      <w:b/>
      <w:bCs/>
      <w:kern w:val="2"/>
      <w:sz w:val="28"/>
      <w:szCs w:val="28"/>
    </w:rPr>
  </w:style>
  <w:style w:type="character" w:customStyle="1" w:styleId="5Char">
    <w:name w:val="标题 5 Char"/>
    <w:basedOn w:val="a0"/>
    <w:link w:val="5"/>
    <w:rsid w:val="001A7CDB"/>
    <w:rPr>
      <w:b/>
      <w:bCs/>
      <w:kern w:val="2"/>
      <w:sz w:val="28"/>
      <w:szCs w:val="28"/>
    </w:rPr>
  </w:style>
  <w:style w:type="character" w:customStyle="1" w:styleId="6Char">
    <w:name w:val="标题 6 Char"/>
    <w:basedOn w:val="a0"/>
    <w:link w:val="6"/>
    <w:rsid w:val="001A7CDB"/>
    <w:rPr>
      <w:rFonts w:ascii="Arial" w:eastAsia="黑体" w:hAnsi="Arial"/>
      <w:b/>
      <w:bCs/>
      <w:kern w:val="2"/>
      <w:sz w:val="24"/>
      <w:szCs w:val="24"/>
    </w:rPr>
  </w:style>
  <w:style w:type="character" w:customStyle="1" w:styleId="7Char">
    <w:name w:val="标题 7 Char"/>
    <w:basedOn w:val="a0"/>
    <w:link w:val="7"/>
    <w:rsid w:val="001A7CDB"/>
    <w:rPr>
      <w:b/>
      <w:bCs/>
      <w:kern w:val="2"/>
      <w:sz w:val="24"/>
      <w:szCs w:val="24"/>
    </w:rPr>
  </w:style>
  <w:style w:type="character" w:customStyle="1" w:styleId="8Char">
    <w:name w:val="标题 8 Char"/>
    <w:basedOn w:val="a0"/>
    <w:link w:val="8"/>
    <w:rsid w:val="001A7CDB"/>
    <w:rPr>
      <w:rFonts w:ascii="Arial" w:eastAsia="黑体" w:hAnsi="Arial"/>
      <w:kern w:val="2"/>
      <w:sz w:val="24"/>
      <w:szCs w:val="24"/>
    </w:rPr>
  </w:style>
  <w:style w:type="character" w:customStyle="1" w:styleId="9Char">
    <w:name w:val="标题 9 Char"/>
    <w:basedOn w:val="a0"/>
    <w:link w:val="9"/>
    <w:rsid w:val="001A7CDB"/>
    <w:rPr>
      <w:rFonts w:ascii="Arial" w:eastAsia="黑体" w:hAnsi="Arial"/>
      <w:kern w:val="2"/>
      <w:sz w:val="24"/>
      <w:szCs w:val="21"/>
    </w:rPr>
  </w:style>
  <w:style w:type="paragraph" w:styleId="a3">
    <w:name w:val="header"/>
    <w:basedOn w:val="a"/>
    <w:link w:val="Char"/>
    <w:uiPriority w:val="99"/>
    <w:rsid w:val="00A14A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4A69"/>
    <w:rPr>
      <w:rFonts w:ascii="Calibri" w:hAnsi="Calibri" w:cs="宋体"/>
      <w:sz w:val="18"/>
      <w:szCs w:val="18"/>
    </w:rPr>
  </w:style>
  <w:style w:type="paragraph" w:styleId="a4">
    <w:name w:val="footer"/>
    <w:basedOn w:val="a"/>
    <w:link w:val="Char0"/>
    <w:uiPriority w:val="99"/>
    <w:rsid w:val="00A14A69"/>
    <w:pPr>
      <w:tabs>
        <w:tab w:val="center" w:pos="4153"/>
        <w:tab w:val="right" w:pos="8306"/>
      </w:tabs>
      <w:snapToGrid w:val="0"/>
      <w:jc w:val="left"/>
    </w:pPr>
    <w:rPr>
      <w:sz w:val="18"/>
      <w:szCs w:val="18"/>
    </w:rPr>
  </w:style>
  <w:style w:type="character" w:customStyle="1" w:styleId="Char0">
    <w:name w:val="页脚 Char"/>
    <w:basedOn w:val="a0"/>
    <w:link w:val="a4"/>
    <w:uiPriority w:val="99"/>
    <w:rsid w:val="00A14A69"/>
    <w:rPr>
      <w:rFonts w:ascii="Calibri" w:hAnsi="Calibri" w:cs="宋体"/>
      <w:sz w:val="18"/>
      <w:szCs w:val="18"/>
    </w:rPr>
  </w:style>
  <w:style w:type="paragraph" w:customStyle="1" w:styleId="211">
    <w:name w:val="样式 标题 2 + 段前: 1 行 段后: 1 行"/>
    <w:basedOn w:val="20"/>
    <w:rsid w:val="001A7CDB"/>
    <w:pPr>
      <w:numPr>
        <w:numId w:val="1"/>
      </w:numPr>
      <w:spacing w:before="447" w:after="447"/>
    </w:pPr>
    <w:rPr>
      <w:b w:val="0"/>
      <w:szCs w:val="20"/>
    </w:rPr>
  </w:style>
  <w:style w:type="paragraph" w:customStyle="1" w:styleId="CharCharCharCharCharCharChar">
    <w:name w:val="正文文字 Char Char Char Char Char Char Char"/>
    <w:basedOn w:val="a"/>
    <w:next w:val="30"/>
    <w:rsid w:val="001A7CDB"/>
    <w:pPr>
      <w:widowControl w:val="0"/>
      <w:numPr>
        <w:ilvl w:val="1"/>
        <w:numId w:val="4"/>
      </w:numPr>
      <w:spacing w:after="120"/>
    </w:pPr>
    <w:rPr>
      <w:rFonts w:ascii="Times New Roman" w:hAnsi="Times New Roman" w:cs="Times New Roman"/>
      <w:kern w:val="2"/>
      <w:sz w:val="16"/>
      <w:szCs w:val="16"/>
    </w:rPr>
  </w:style>
  <w:style w:type="paragraph" w:styleId="30">
    <w:name w:val="Body Text 3"/>
    <w:basedOn w:val="a"/>
    <w:link w:val="3Char0"/>
    <w:rsid w:val="001A7CDB"/>
    <w:pPr>
      <w:widowControl w:val="0"/>
      <w:spacing w:after="120"/>
    </w:pPr>
    <w:rPr>
      <w:rFonts w:ascii="Times New Roman" w:hAnsi="Times New Roman" w:cs="Times New Roman"/>
      <w:kern w:val="2"/>
      <w:sz w:val="16"/>
      <w:szCs w:val="16"/>
    </w:rPr>
  </w:style>
  <w:style w:type="character" w:customStyle="1" w:styleId="3Char0">
    <w:name w:val="正文文本 3 Char"/>
    <w:basedOn w:val="a0"/>
    <w:link w:val="30"/>
    <w:rsid w:val="001A7CDB"/>
    <w:rPr>
      <w:kern w:val="2"/>
      <w:sz w:val="16"/>
      <w:szCs w:val="16"/>
    </w:rPr>
  </w:style>
  <w:style w:type="paragraph" w:styleId="10">
    <w:name w:val="toc 1"/>
    <w:basedOn w:val="a"/>
    <w:next w:val="a"/>
    <w:autoRedefine/>
    <w:uiPriority w:val="39"/>
    <w:rsid w:val="00D14871"/>
    <w:pPr>
      <w:widowControl w:val="0"/>
      <w:tabs>
        <w:tab w:val="left" w:pos="1134"/>
        <w:tab w:val="right" w:leader="dot" w:pos="8296"/>
      </w:tabs>
      <w:ind w:leftChars="67" w:left="141"/>
      <w:jc w:val="left"/>
    </w:pPr>
    <w:rPr>
      <w:rFonts w:ascii="宋体" w:eastAsia="黑体" w:hAnsi="宋体" w:cs="Times New Roman"/>
      <w:b/>
      <w:caps/>
      <w:noProof/>
      <w:kern w:val="2"/>
      <w:sz w:val="24"/>
      <w:szCs w:val="28"/>
    </w:rPr>
  </w:style>
  <w:style w:type="paragraph" w:styleId="21">
    <w:name w:val="toc 2"/>
    <w:basedOn w:val="a"/>
    <w:next w:val="a"/>
    <w:autoRedefine/>
    <w:uiPriority w:val="39"/>
    <w:rsid w:val="00CB57E3"/>
    <w:pPr>
      <w:widowControl w:val="0"/>
      <w:tabs>
        <w:tab w:val="left" w:pos="2100"/>
        <w:tab w:val="right" w:leader="dot" w:pos="8268"/>
      </w:tabs>
      <w:ind w:leftChars="152" w:left="319" w:firstLineChars="348" w:firstLine="731"/>
      <w:jc w:val="left"/>
    </w:pPr>
    <w:rPr>
      <w:rFonts w:ascii="Times New Roman" w:eastAsia="仿宋_GB2312" w:hAnsi="Times New Roman" w:cs="Times New Roman"/>
      <w:smallCaps/>
      <w:noProof/>
      <w:kern w:val="2"/>
      <w:szCs w:val="20"/>
    </w:rPr>
  </w:style>
  <w:style w:type="paragraph" w:customStyle="1" w:styleId="11">
    <w:name w:val="样式 标题 1 + 黑体 非加粗"/>
    <w:basedOn w:val="1"/>
    <w:rsid w:val="001A7CDB"/>
    <w:pPr>
      <w:pageBreakBefore/>
    </w:pPr>
    <w:rPr>
      <w:rFonts w:hAnsi="黑体"/>
      <w:b/>
    </w:rPr>
  </w:style>
  <w:style w:type="paragraph" w:customStyle="1" w:styleId="111">
    <w:name w:val="样式 标题 1 + 段前: 1 行 段后: 1 行"/>
    <w:basedOn w:val="1"/>
    <w:rsid w:val="001A7CDB"/>
    <w:pPr>
      <w:pageBreakBefore/>
    </w:pPr>
    <w:rPr>
      <w:szCs w:val="20"/>
    </w:rPr>
  </w:style>
  <w:style w:type="paragraph" w:customStyle="1" w:styleId="115">
    <w:name w:val="样式 标题 1 + 段前: 1.5 行"/>
    <w:basedOn w:val="a"/>
    <w:rsid w:val="001A7CDB"/>
    <w:pPr>
      <w:widowControl w:val="0"/>
      <w:tabs>
        <w:tab w:val="num" w:pos="990"/>
      </w:tabs>
      <w:ind w:left="990" w:hanging="840"/>
    </w:pPr>
    <w:rPr>
      <w:rFonts w:ascii="Times New Roman" w:hAnsi="Times New Roman" w:cs="Times New Roman"/>
      <w:kern w:val="2"/>
      <w:sz w:val="24"/>
      <w:szCs w:val="20"/>
    </w:rPr>
  </w:style>
  <w:style w:type="paragraph" w:customStyle="1" w:styleId="22">
    <w:name w:val="样式 首行缩进:  2 字符"/>
    <w:basedOn w:val="a"/>
    <w:rsid w:val="001A7CDB"/>
    <w:pPr>
      <w:widowControl w:val="0"/>
      <w:spacing w:before="100" w:beforeAutospacing="1" w:after="100" w:afterAutospacing="1" w:line="360" w:lineRule="auto"/>
      <w:ind w:firstLineChars="200" w:firstLine="480"/>
    </w:pPr>
    <w:rPr>
      <w:rFonts w:ascii="Times New Roman" w:hAnsi="Times New Roman" w:cs="Times New Roman"/>
      <w:kern w:val="2"/>
      <w:szCs w:val="20"/>
    </w:rPr>
  </w:style>
  <w:style w:type="character" w:styleId="a5">
    <w:name w:val="page number"/>
    <w:basedOn w:val="a0"/>
    <w:rsid w:val="001A7CDB"/>
  </w:style>
  <w:style w:type="paragraph" w:customStyle="1" w:styleId="2111111">
    <w:name w:val="样式 样式 样式 标题 2 + 段前: 1 行 段后: 1 行1 + 段前: 1 行 段后: 1 行 + 段前: 1 行 段后..."/>
    <w:basedOn w:val="a"/>
    <w:rsid w:val="001A7CDB"/>
    <w:pPr>
      <w:keepNext/>
      <w:keepLines/>
      <w:widowControl w:val="0"/>
      <w:spacing w:beforeLines="100" w:afterLines="100"/>
      <w:outlineLvl w:val="1"/>
    </w:pPr>
    <w:rPr>
      <w:rFonts w:ascii="Arial" w:hAnsi="Arial" w:cs="Times New Roman"/>
      <w:b/>
      <w:bCs/>
      <w:kern w:val="2"/>
      <w:sz w:val="28"/>
      <w:szCs w:val="20"/>
    </w:rPr>
  </w:style>
  <w:style w:type="paragraph" w:customStyle="1" w:styleId="2111">
    <w:name w:val="样式 标题 2 + 段前: 1 行 段后: 1 行1"/>
    <w:basedOn w:val="20"/>
    <w:rsid w:val="001A7CDB"/>
    <w:pPr>
      <w:ind w:firstLineChars="0" w:firstLine="0"/>
    </w:pPr>
    <w:rPr>
      <w:bCs/>
      <w:szCs w:val="20"/>
    </w:rPr>
  </w:style>
  <w:style w:type="paragraph" w:customStyle="1" w:styleId="211111">
    <w:name w:val="样式 样式 标题 2 + 段前: 1 行 段后: 1 行1 + 段前: 1 行 段后: 1 行"/>
    <w:basedOn w:val="2111"/>
    <w:rsid w:val="001A7CDB"/>
  </w:style>
  <w:style w:type="character" w:customStyle="1" w:styleId="big1">
    <w:name w:val="big1"/>
    <w:basedOn w:val="a0"/>
    <w:rsid w:val="001A7CDB"/>
    <w:rPr>
      <w:spacing w:val="360"/>
      <w:sz w:val="22"/>
      <w:szCs w:val="22"/>
    </w:rPr>
  </w:style>
  <w:style w:type="paragraph" w:styleId="a6">
    <w:name w:val="Title"/>
    <w:basedOn w:val="a"/>
    <w:link w:val="Char1"/>
    <w:qFormat/>
    <w:rsid w:val="001A7CDB"/>
    <w:pPr>
      <w:widowControl w:val="0"/>
      <w:spacing w:before="240" w:after="60"/>
      <w:jc w:val="center"/>
      <w:outlineLvl w:val="0"/>
    </w:pPr>
    <w:rPr>
      <w:rFonts w:ascii="Arial" w:hAnsi="Arial" w:cs="Arial"/>
      <w:b/>
      <w:bCs/>
      <w:kern w:val="2"/>
      <w:sz w:val="32"/>
      <w:szCs w:val="32"/>
    </w:rPr>
  </w:style>
  <w:style w:type="character" w:customStyle="1" w:styleId="Char1">
    <w:name w:val="标题 Char"/>
    <w:basedOn w:val="a0"/>
    <w:link w:val="a6"/>
    <w:rsid w:val="001A7CDB"/>
    <w:rPr>
      <w:rFonts w:ascii="Arial" w:hAnsi="Arial" w:cs="Arial"/>
      <w:b/>
      <w:bCs/>
      <w:kern w:val="2"/>
      <w:sz w:val="32"/>
      <w:szCs w:val="32"/>
    </w:rPr>
  </w:style>
  <w:style w:type="paragraph" w:styleId="a7">
    <w:name w:val="Closing"/>
    <w:basedOn w:val="a"/>
    <w:link w:val="Char2"/>
    <w:rsid w:val="001A7CDB"/>
    <w:pPr>
      <w:widowControl w:val="0"/>
      <w:ind w:leftChars="2100" w:left="100"/>
    </w:pPr>
    <w:rPr>
      <w:rFonts w:ascii="Times New Roman" w:hAnsi="Times New Roman" w:cs="Times New Roman"/>
      <w:kern w:val="2"/>
      <w:szCs w:val="24"/>
    </w:rPr>
  </w:style>
  <w:style w:type="character" w:customStyle="1" w:styleId="Char2">
    <w:name w:val="结束语 Char"/>
    <w:basedOn w:val="a0"/>
    <w:link w:val="a7"/>
    <w:rsid w:val="001A7CDB"/>
    <w:rPr>
      <w:kern w:val="2"/>
      <w:sz w:val="21"/>
      <w:szCs w:val="24"/>
    </w:rPr>
  </w:style>
  <w:style w:type="paragraph" w:styleId="a8">
    <w:name w:val="List Number"/>
    <w:basedOn w:val="a"/>
    <w:rsid w:val="001A7CDB"/>
    <w:pPr>
      <w:widowControl w:val="0"/>
      <w:tabs>
        <w:tab w:val="num" w:pos="360"/>
      </w:tabs>
      <w:ind w:left="360" w:hangingChars="200" w:hanging="360"/>
    </w:pPr>
    <w:rPr>
      <w:rFonts w:ascii="Times New Roman" w:hAnsi="Times New Roman" w:cs="Times New Roman"/>
      <w:kern w:val="2"/>
      <w:szCs w:val="24"/>
    </w:rPr>
  </w:style>
  <w:style w:type="paragraph" w:styleId="23">
    <w:name w:val="List Number 2"/>
    <w:basedOn w:val="a"/>
    <w:rsid w:val="001A7CDB"/>
    <w:pPr>
      <w:widowControl w:val="0"/>
      <w:tabs>
        <w:tab w:val="num" w:pos="780"/>
      </w:tabs>
      <w:ind w:leftChars="200" w:left="780" w:hangingChars="200" w:hanging="360"/>
    </w:pPr>
    <w:rPr>
      <w:rFonts w:ascii="Times New Roman" w:hAnsi="Times New Roman" w:cs="Times New Roman"/>
      <w:kern w:val="2"/>
      <w:szCs w:val="24"/>
    </w:rPr>
  </w:style>
  <w:style w:type="paragraph" w:styleId="31">
    <w:name w:val="List Number 3"/>
    <w:basedOn w:val="a"/>
    <w:rsid w:val="001A7CDB"/>
    <w:pPr>
      <w:widowControl w:val="0"/>
      <w:tabs>
        <w:tab w:val="num" w:pos="1200"/>
      </w:tabs>
      <w:ind w:leftChars="400" w:left="1200" w:hangingChars="200" w:hanging="360"/>
    </w:pPr>
    <w:rPr>
      <w:rFonts w:ascii="Times New Roman" w:hAnsi="Times New Roman" w:cs="Times New Roman"/>
      <w:kern w:val="2"/>
      <w:szCs w:val="24"/>
    </w:rPr>
  </w:style>
  <w:style w:type="paragraph" w:styleId="40">
    <w:name w:val="List Number 4"/>
    <w:basedOn w:val="a"/>
    <w:rsid w:val="001A7CDB"/>
    <w:pPr>
      <w:widowControl w:val="0"/>
      <w:tabs>
        <w:tab w:val="num" w:pos="1620"/>
      </w:tabs>
      <w:ind w:leftChars="600" w:left="1620" w:hangingChars="200" w:hanging="360"/>
    </w:pPr>
    <w:rPr>
      <w:rFonts w:ascii="Times New Roman" w:hAnsi="Times New Roman" w:cs="Times New Roman"/>
      <w:kern w:val="2"/>
      <w:szCs w:val="24"/>
    </w:rPr>
  </w:style>
  <w:style w:type="paragraph" w:styleId="50">
    <w:name w:val="List Number 5"/>
    <w:basedOn w:val="a"/>
    <w:rsid w:val="001A7CDB"/>
    <w:pPr>
      <w:widowControl w:val="0"/>
      <w:tabs>
        <w:tab w:val="num" w:pos="2040"/>
      </w:tabs>
      <w:ind w:leftChars="800" w:left="2040" w:hangingChars="200" w:hanging="360"/>
    </w:pPr>
    <w:rPr>
      <w:rFonts w:ascii="Times New Roman" w:hAnsi="Times New Roman" w:cs="Times New Roman"/>
      <w:kern w:val="2"/>
      <w:szCs w:val="24"/>
    </w:rPr>
  </w:style>
  <w:style w:type="paragraph" w:styleId="a9">
    <w:name w:val="List Bullet"/>
    <w:basedOn w:val="a"/>
    <w:autoRedefine/>
    <w:rsid w:val="001A7CDB"/>
    <w:pPr>
      <w:widowControl w:val="0"/>
      <w:tabs>
        <w:tab w:val="num" w:pos="360"/>
      </w:tabs>
      <w:ind w:left="360" w:hangingChars="200" w:hanging="360"/>
    </w:pPr>
    <w:rPr>
      <w:rFonts w:ascii="Times New Roman" w:hAnsi="Times New Roman" w:cs="Times New Roman"/>
      <w:kern w:val="2"/>
      <w:szCs w:val="24"/>
    </w:rPr>
  </w:style>
  <w:style w:type="paragraph" w:styleId="24">
    <w:name w:val="List Bullet 2"/>
    <w:basedOn w:val="a"/>
    <w:autoRedefine/>
    <w:rsid w:val="001A7CDB"/>
    <w:pPr>
      <w:widowControl w:val="0"/>
      <w:tabs>
        <w:tab w:val="num" w:pos="780"/>
      </w:tabs>
      <w:ind w:leftChars="200" w:left="780" w:hangingChars="200" w:hanging="360"/>
    </w:pPr>
    <w:rPr>
      <w:rFonts w:ascii="Times New Roman" w:hAnsi="Times New Roman" w:cs="Times New Roman"/>
      <w:kern w:val="2"/>
      <w:szCs w:val="24"/>
    </w:rPr>
  </w:style>
  <w:style w:type="paragraph" w:styleId="32">
    <w:name w:val="List Bullet 3"/>
    <w:basedOn w:val="a"/>
    <w:autoRedefine/>
    <w:rsid w:val="001A7CDB"/>
    <w:pPr>
      <w:widowControl w:val="0"/>
      <w:tabs>
        <w:tab w:val="num" w:pos="1200"/>
      </w:tabs>
      <w:ind w:leftChars="400" w:left="1200" w:hangingChars="200" w:hanging="360"/>
    </w:pPr>
    <w:rPr>
      <w:rFonts w:ascii="Times New Roman" w:hAnsi="Times New Roman" w:cs="Times New Roman"/>
      <w:kern w:val="2"/>
      <w:szCs w:val="24"/>
    </w:rPr>
  </w:style>
  <w:style w:type="paragraph" w:styleId="41">
    <w:name w:val="List Bullet 4"/>
    <w:basedOn w:val="a"/>
    <w:autoRedefine/>
    <w:rsid w:val="001A7CDB"/>
    <w:pPr>
      <w:widowControl w:val="0"/>
      <w:tabs>
        <w:tab w:val="num" w:pos="1620"/>
      </w:tabs>
      <w:ind w:leftChars="600" w:left="1620" w:hangingChars="200" w:hanging="360"/>
    </w:pPr>
    <w:rPr>
      <w:rFonts w:ascii="Times New Roman" w:hAnsi="Times New Roman" w:cs="Times New Roman"/>
      <w:kern w:val="2"/>
      <w:szCs w:val="24"/>
    </w:rPr>
  </w:style>
  <w:style w:type="paragraph" w:styleId="51">
    <w:name w:val="List Bullet 5"/>
    <w:basedOn w:val="a"/>
    <w:autoRedefine/>
    <w:rsid w:val="001A7CDB"/>
    <w:pPr>
      <w:widowControl w:val="0"/>
      <w:tabs>
        <w:tab w:val="num" w:pos="2040"/>
      </w:tabs>
      <w:ind w:leftChars="800" w:left="2040" w:hangingChars="200" w:hanging="360"/>
    </w:pPr>
    <w:rPr>
      <w:rFonts w:ascii="Times New Roman" w:hAnsi="Times New Roman" w:cs="Times New Roman"/>
      <w:kern w:val="2"/>
      <w:szCs w:val="24"/>
    </w:rPr>
  </w:style>
  <w:style w:type="paragraph" w:styleId="aa">
    <w:name w:val="table of figures"/>
    <w:basedOn w:val="a"/>
    <w:next w:val="a"/>
    <w:rsid w:val="001A7CDB"/>
    <w:pPr>
      <w:widowControl w:val="0"/>
      <w:ind w:leftChars="200" w:left="840" w:hangingChars="200" w:hanging="420"/>
    </w:pPr>
    <w:rPr>
      <w:rFonts w:ascii="Times New Roman" w:hAnsi="Times New Roman" w:cs="Times New Roman"/>
      <w:kern w:val="2"/>
      <w:szCs w:val="24"/>
    </w:rPr>
  </w:style>
  <w:style w:type="paragraph" w:styleId="ab">
    <w:name w:val="Body Text"/>
    <w:basedOn w:val="a"/>
    <w:link w:val="Char3"/>
    <w:rsid w:val="001A7CDB"/>
    <w:pPr>
      <w:widowControl w:val="0"/>
      <w:spacing w:after="120"/>
    </w:pPr>
    <w:rPr>
      <w:rFonts w:ascii="Times New Roman" w:hAnsi="Times New Roman" w:cs="Times New Roman"/>
      <w:kern w:val="2"/>
      <w:szCs w:val="24"/>
    </w:rPr>
  </w:style>
  <w:style w:type="character" w:customStyle="1" w:styleId="Char3">
    <w:name w:val="正文文本 Char"/>
    <w:basedOn w:val="a0"/>
    <w:link w:val="ab"/>
    <w:rsid w:val="001A7CDB"/>
    <w:rPr>
      <w:kern w:val="2"/>
      <w:sz w:val="21"/>
      <w:szCs w:val="24"/>
    </w:rPr>
  </w:style>
  <w:style w:type="paragraph" w:styleId="ac">
    <w:name w:val="Body Text First Indent"/>
    <w:basedOn w:val="ab"/>
    <w:link w:val="Char4"/>
    <w:rsid w:val="001A7CDB"/>
    <w:pPr>
      <w:ind w:firstLineChars="100" w:firstLine="420"/>
    </w:pPr>
  </w:style>
  <w:style w:type="character" w:customStyle="1" w:styleId="Char4">
    <w:name w:val="正文首行缩进 Char"/>
    <w:basedOn w:val="Char3"/>
    <w:link w:val="ac"/>
    <w:rsid w:val="001A7CDB"/>
    <w:rPr>
      <w:kern w:val="2"/>
      <w:sz w:val="21"/>
      <w:szCs w:val="24"/>
    </w:rPr>
  </w:style>
  <w:style w:type="paragraph" w:styleId="ad">
    <w:name w:val="Body Text Indent"/>
    <w:basedOn w:val="a"/>
    <w:link w:val="Char5"/>
    <w:rsid w:val="001A7CDB"/>
    <w:pPr>
      <w:widowControl w:val="0"/>
      <w:spacing w:after="120"/>
      <w:ind w:left="420"/>
    </w:pPr>
    <w:rPr>
      <w:rFonts w:ascii="Times New Roman" w:hAnsi="Times New Roman" w:cs="Times New Roman"/>
      <w:kern w:val="2"/>
      <w:szCs w:val="24"/>
    </w:rPr>
  </w:style>
  <w:style w:type="character" w:customStyle="1" w:styleId="Char5">
    <w:name w:val="正文文本缩进 Char"/>
    <w:basedOn w:val="a0"/>
    <w:link w:val="ad"/>
    <w:rsid w:val="001A7CDB"/>
    <w:rPr>
      <w:kern w:val="2"/>
      <w:sz w:val="21"/>
      <w:szCs w:val="24"/>
    </w:rPr>
  </w:style>
  <w:style w:type="paragraph" w:styleId="ae">
    <w:name w:val="Note Heading"/>
    <w:basedOn w:val="a"/>
    <w:next w:val="a"/>
    <w:link w:val="Char6"/>
    <w:rsid w:val="001A7CDB"/>
    <w:pPr>
      <w:widowControl w:val="0"/>
      <w:jc w:val="center"/>
    </w:pPr>
    <w:rPr>
      <w:rFonts w:ascii="Times New Roman" w:hAnsi="Times New Roman" w:cs="Times New Roman"/>
      <w:kern w:val="2"/>
      <w:szCs w:val="24"/>
    </w:rPr>
  </w:style>
  <w:style w:type="character" w:customStyle="1" w:styleId="Char6">
    <w:name w:val="注释标题 Char"/>
    <w:basedOn w:val="a0"/>
    <w:link w:val="ae"/>
    <w:rsid w:val="001A7CDB"/>
    <w:rPr>
      <w:kern w:val="2"/>
      <w:sz w:val="21"/>
      <w:szCs w:val="24"/>
    </w:rPr>
  </w:style>
  <w:style w:type="character" w:customStyle="1" w:styleId="da">
    <w:name w:val="da"/>
    <w:basedOn w:val="a0"/>
    <w:qFormat/>
    <w:rsid w:val="001A7CDB"/>
  </w:style>
  <w:style w:type="paragraph" w:customStyle="1" w:styleId="af">
    <w:name w:val="特点"/>
    <w:aliases w:val="表正文,正文非缩进,段1"/>
    <w:basedOn w:val="a"/>
    <w:next w:val="af0"/>
    <w:rsid w:val="001A7CDB"/>
    <w:pPr>
      <w:widowControl w:val="0"/>
      <w:ind w:firstLine="420"/>
    </w:pPr>
    <w:rPr>
      <w:rFonts w:ascii="Times New Roman" w:hAnsi="Times New Roman" w:cs="Times New Roman"/>
      <w:kern w:val="2"/>
      <w:szCs w:val="20"/>
    </w:rPr>
  </w:style>
  <w:style w:type="paragraph" w:styleId="af0">
    <w:name w:val="Normal Indent"/>
    <w:aliases w:val="正文缩进1,ALT+Z"/>
    <w:basedOn w:val="a"/>
    <w:rsid w:val="001A7CDB"/>
    <w:pPr>
      <w:widowControl w:val="0"/>
      <w:ind w:firstLine="420"/>
    </w:pPr>
    <w:rPr>
      <w:rFonts w:ascii="Times New Roman" w:hAnsi="Times New Roman" w:cs="Times New Roman"/>
      <w:kern w:val="2"/>
      <w:szCs w:val="24"/>
    </w:rPr>
  </w:style>
  <w:style w:type="paragraph" w:styleId="33">
    <w:name w:val="Body Text Indent 3"/>
    <w:basedOn w:val="a"/>
    <w:link w:val="3Char1"/>
    <w:rsid w:val="001A7CDB"/>
    <w:pPr>
      <w:widowControl w:val="0"/>
      <w:spacing w:after="120"/>
      <w:ind w:left="420"/>
    </w:pPr>
    <w:rPr>
      <w:rFonts w:ascii="Times New Roman" w:hAnsi="Times New Roman" w:cs="Times New Roman"/>
      <w:kern w:val="2"/>
      <w:sz w:val="16"/>
      <w:szCs w:val="16"/>
    </w:rPr>
  </w:style>
  <w:style w:type="character" w:customStyle="1" w:styleId="3Char1">
    <w:name w:val="正文文本缩进 3 Char"/>
    <w:basedOn w:val="a0"/>
    <w:link w:val="33"/>
    <w:rsid w:val="001A7CDB"/>
    <w:rPr>
      <w:kern w:val="2"/>
      <w:sz w:val="16"/>
      <w:szCs w:val="16"/>
    </w:rPr>
  </w:style>
  <w:style w:type="paragraph" w:styleId="af1">
    <w:name w:val="Plain Text"/>
    <w:basedOn w:val="a"/>
    <w:link w:val="Char7"/>
    <w:rsid w:val="001A7CDB"/>
    <w:pPr>
      <w:widowControl w:val="0"/>
    </w:pPr>
    <w:rPr>
      <w:rFonts w:ascii="宋体" w:hAnsi="Courier New" w:cs="Courier New"/>
      <w:kern w:val="2"/>
    </w:rPr>
  </w:style>
  <w:style w:type="character" w:customStyle="1" w:styleId="Char7">
    <w:name w:val="纯文本 Char"/>
    <w:basedOn w:val="a0"/>
    <w:link w:val="af1"/>
    <w:rsid w:val="001A7CDB"/>
    <w:rPr>
      <w:rFonts w:ascii="宋体" w:hAnsi="Courier New" w:cs="Courier New"/>
      <w:kern w:val="2"/>
      <w:sz w:val="21"/>
      <w:szCs w:val="21"/>
    </w:rPr>
  </w:style>
  <w:style w:type="character" w:styleId="af2">
    <w:name w:val="Hyperlink"/>
    <w:basedOn w:val="a0"/>
    <w:uiPriority w:val="99"/>
    <w:rsid w:val="001A7CDB"/>
    <w:rPr>
      <w:color w:val="0000FF"/>
      <w:u w:val="single"/>
    </w:rPr>
  </w:style>
  <w:style w:type="paragraph" w:styleId="25">
    <w:name w:val="Body Text Indent 2"/>
    <w:basedOn w:val="a"/>
    <w:link w:val="2Char0"/>
    <w:rsid w:val="001A7CDB"/>
    <w:pPr>
      <w:widowControl w:val="0"/>
      <w:spacing w:after="120" w:line="480" w:lineRule="auto"/>
      <w:ind w:left="420"/>
    </w:pPr>
    <w:rPr>
      <w:rFonts w:ascii="Times New Roman" w:hAnsi="Times New Roman" w:cs="Times New Roman"/>
      <w:kern w:val="2"/>
      <w:szCs w:val="24"/>
    </w:rPr>
  </w:style>
  <w:style w:type="character" w:customStyle="1" w:styleId="2Char0">
    <w:name w:val="正文文本缩进 2 Char"/>
    <w:basedOn w:val="a0"/>
    <w:link w:val="25"/>
    <w:rsid w:val="001A7CDB"/>
    <w:rPr>
      <w:kern w:val="2"/>
      <w:sz w:val="21"/>
      <w:szCs w:val="24"/>
    </w:rPr>
  </w:style>
  <w:style w:type="paragraph" w:styleId="26">
    <w:name w:val="Body Text 2"/>
    <w:basedOn w:val="a"/>
    <w:link w:val="2Char1"/>
    <w:rsid w:val="001A7CDB"/>
    <w:pPr>
      <w:widowControl w:val="0"/>
      <w:spacing w:after="120" w:line="480" w:lineRule="auto"/>
    </w:pPr>
    <w:rPr>
      <w:rFonts w:ascii="Times New Roman" w:hAnsi="Times New Roman" w:cs="Times New Roman"/>
      <w:kern w:val="2"/>
      <w:szCs w:val="24"/>
    </w:rPr>
  </w:style>
  <w:style w:type="character" w:customStyle="1" w:styleId="2Char1">
    <w:name w:val="正文文本 2 Char"/>
    <w:basedOn w:val="a0"/>
    <w:link w:val="26"/>
    <w:rsid w:val="001A7CDB"/>
    <w:rPr>
      <w:kern w:val="2"/>
      <w:sz w:val="21"/>
      <w:szCs w:val="24"/>
    </w:rPr>
  </w:style>
  <w:style w:type="paragraph" w:styleId="HTML">
    <w:name w:val="HTML Preformatted"/>
    <w:basedOn w:val="a"/>
    <w:link w:val="HTMLChar"/>
    <w:uiPriority w:val="99"/>
    <w:rsid w:val="001A7CDB"/>
    <w:pPr>
      <w:widowControl w:val="0"/>
    </w:pPr>
    <w:rPr>
      <w:rFonts w:ascii="Courier New" w:hAnsi="Courier New" w:cs="Courier New"/>
      <w:kern w:val="2"/>
      <w:sz w:val="20"/>
      <w:szCs w:val="20"/>
    </w:rPr>
  </w:style>
  <w:style w:type="character" w:customStyle="1" w:styleId="HTMLChar">
    <w:name w:val="HTML 预设格式 Char"/>
    <w:basedOn w:val="a0"/>
    <w:link w:val="HTML"/>
    <w:uiPriority w:val="99"/>
    <w:rsid w:val="001A7CDB"/>
    <w:rPr>
      <w:rFonts w:ascii="Courier New" w:hAnsi="Courier New" w:cs="Courier New"/>
      <w:kern w:val="2"/>
    </w:rPr>
  </w:style>
  <w:style w:type="paragraph" w:styleId="af3">
    <w:name w:val="Normal (Web)"/>
    <w:basedOn w:val="a"/>
    <w:rsid w:val="001A7CDB"/>
    <w:pPr>
      <w:widowControl w:val="0"/>
    </w:pPr>
    <w:rPr>
      <w:rFonts w:ascii="Times New Roman" w:hAnsi="Times New Roman" w:cs="Times New Roman"/>
      <w:kern w:val="2"/>
      <w:sz w:val="24"/>
      <w:szCs w:val="24"/>
    </w:rPr>
  </w:style>
  <w:style w:type="paragraph" w:styleId="af4">
    <w:name w:val="Subtitle"/>
    <w:basedOn w:val="a"/>
    <w:link w:val="Char8"/>
    <w:qFormat/>
    <w:rsid w:val="001A7CDB"/>
    <w:pPr>
      <w:widowControl w:val="0"/>
      <w:spacing w:before="240" w:after="60" w:line="312" w:lineRule="auto"/>
      <w:jc w:val="center"/>
      <w:outlineLvl w:val="1"/>
    </w:pPr>
    <w:rPr>
      <w:rFonts w:ascii="Arial" w:hAnsi="Arial" w:cs="Arial"/>
      <w:b/>
      <w:bCs/>
      <w:kern w:val="28"/>
      <w:sz w:val="32"/>
      <w:szCs w:val="32"/>
    </w:rPr>
  </w:style>
  <w:style w:type="character" w:customStyle="1" w:styleId="Char8">
    <w:name w:val="副标题 Char"/>
    <w:basedOn w:val="a0"/>
    <w:link w:val="af4"/>
    <w:rsid w:val="001A7CDB"/>
    <w:rPr>
      <w:rFonts w:ascii="Arial" w:hAnsi="Arial" w:cs="Arial"/>
      <w:b/>
      <w:bCs/>
      <w:kern w:val="28"/>
      <w:sz w:val="32"/>
      <w:szCs w:val="32"/>
    </w:rPr>
  </w:style>
  <w:style w:type="paragraph" w:styleId="af5">
    <w:name w:val="Block Text"/>
    <w:basedOn w:val="a"/>
    <w:rsid w:val="001A7CDB"/>
    <w:pPr>
      <w:widowControl w:val="0"/>
      <w:spacing w:after="120"/>
      <w:ind w:left="1440" w:right="1440"/>
    </w:pPr>
    <w:rPr>
      <w:rFonts w:ascii="Times New Roman" w:hAnsi="Times New Roman" w:cs="Times New Roman"/>
      <w:kern w:val="2"/>
      <w:szCs w:val="24"/>
    </w:rPr>
  </w:style>
  <w:style w:type="character" w:styleId="af6">
    <w:name w:val="Strong"/>
    <w:basedOn w:val="a0"/>
    <w:qFormat/>
    <w:rsid w:val="001A7CDB"/>
    <w:rPr>
      <w:b/>
      <w:bCs/>
    </w:rPr>
  </w:style>
  <w:style w:type="paragraph" w:styleId="af7">
    <w:name w:val="Document Map"/>
    <w:basedOn w:val="a"/>
    <w:link w:val="Char9"/>
    <w:rsid w:val="001A7CDB"/>
    <w:pPr>
      <w:widowControl w:val="0"/>
      <w:shd w:val="clear" w:color="auto" w:fill="000080"/>
    </w:pPr>
    <w:rPr>
      <w:rFonts w:ascii="Times New Roman" w:hAnsi="Times New Roman" w:cs="Times New Roman"/>
      <w:kern w:val="2"/>
      <w:szCs w:val="24"/>
    </w:rPr>
  </w:style>
  <w:style w:type="character" w:customStyle="1" w:styleId="Char9">
    <w:name w:val="文档结构图 Char"/>
    <w:basedOn w:val="a0"/>
    <w:link w:val="af7"/>
    <w:rsid w:val="001A7CDB"/>
    <w:rPr>
      <w:kern w:val="2"/>
      <w:sz w:val="21"/>
      <w:szCs w:val="24"/>
      <w:shd w:val="clear" w:color="auto" w:fill="000080"/>
    </w:rPr>
  </w:style>
  <w:style w:type="paragraph" w:customStyle="1" w:styleId="2">
    <w:name w:val="列表2"/>
    <w:basedOn w:val="a"/>
    <w:next w:val="a6"/>
    <w:rsid w:val="001A7CDB"/>
    <w:pPr>
      <w:widowControl w:val="0"/>
      <w:numPr>
        <w:numId w:val="5"/>
      </w:numPr>
      <w:spacing w:line="360" w:lineRule="auto"/>
    </w:pPr>
    <w:rPr>
      <w:rFonts w:ascii="宋体" w:hAnsi="Times New Roman" w:cs="Times New Roman"/>
      <w:kern w:val="2"/>
      <w:szCs w:val="20"/>
    </w:rPr>
  </w:style>
  <w:style w:type="paragraph" w:customStyle="1" w:styleId="12">
    <w:name w:val="列表1"/>
    <w:basedOn w:val="a"/>
    <w:next w:val="a"/>
    <w:rsid w:val="001A7CDB"/>
    <w:pPr>
      <w:widowControl w:val="0"/>
      <w:tabs>
        <w:tab w:val="num" w:pos="644"/>
      </w:tabs>
      <w:spacing w:line="360" w:lineRule="auto"/>
      <w:ind w:left="567" w:hanging="283"/>
    </w:pPr>
    <w:rPr>
      <w:rFonts w:ascii="Times New Roman" w:hAnsi="Times New Roman" w:cs="Times New Roman"/>
      <w:kern w:val="2"/>
      <w:szCs w:val="20"/>
    </w:rPr>
  </w:style>
  <w:style w:type="paragraph" w:customStyle="1" w:styleId="2211">
    <w:name w:val="样式 标题 2 + 首行缩进:  2 字符 段前: 1 行 段后: 1 行"/>
    <w:basedOn w:val="20"/>
    <w:rsid w:val="001A7CDB"/>
    <w:pPr>
      <w:tabs>
        <w:tab w:val="num" w:pos="1276"/>
      </w:tabs>
      <w:spacing w:beforeLines="0" w:afterLines="0"/>
      <w:ind w:left="851" w:firstLineChars="0" w:firstLine="0"/>
    </w:pPr>
    <w:rPr>
      <w:szCs w:val="20"/>
    </w:rPr>
  </w:style>
  <w:style w:type="paragraph" w:styleId="af8">
    <w:name w:val="Balloon Text"/>
    <w:basedOn w:val="a"/>
    <w:link w:val="Chara"/>
    <w:rsid w:val="001A7CDB"/>
    <w:pPr>
      <w:widowControl w:val="0"/>
    </w:pPr>
    <w:rPr>
      <w:rFonts w:ascii="Times New Roman" w:hAnsi="Times New Roman" w:cs="Times New Roman"/>
      <w:kern w:val="2"/>
      <w:sz w:val="18"/>
      <w:szCs w:val="18"/>
    </w:rPr>
  </w:style>
  <w:style w:type="character" w:customStyle="1" w:styleId="Chara">
    <w:name w:val="批注框文本 Char"/>
    <w:basedOn w:val="a0"/>
    <w:link w:val="af8"/>
    <w:rsid w:val="001A7CDB"/>
    <w:rPr>
      <w:kern w:val="2"/>
      <w:sz w:val="18"/>
      <w:szCs w:val="18"/>
    </w:rPr>
  </w:style>
  <w:style w:type="character" w:customStyle="1" w:styleId="read">
    <w:name w:val="read"/>
    <w:basedOn w:val="a0"/>
    <w:rsid w:val="001A7CDB"/>
  </w:style>
  <w:style w:type="paragraph" w:styleId="af9">
    <w:name w:val="annotation text"/>
    <w:basedOn w:val="a"/>
    <w:link w:val="Charb"/>
    <w:rsid w:val="001A7CDB"/>
    <w:pPr>
      <w:jc w:val="left"/>
    </w:pPr>
  </w:style>
  <w:style w:type="character" w:customStyle="1" w:styleId="Charb">
    <w:name w:val="批注文字 Char"/>
    <w:basedOn w:val="a0"/>
    <w:link w:val="af9"/>
    <w:rsid w:val="001A7CDB"/>
    <w:rPr>
      <w:rFonts w:ascii="Calibri" w:hAnsi="Calibri" w:cs="宋体"/>
      <w:sz w:val="21"/>
      <w:szCs w:val="21"/>
    </w:rPr>
  </w:style>
  <w:style w:type="paragraph" w:styleId="afa">
    <w:name w:val="annotation subject"/>
    <w:basedOn w:val="af9"/>
    <w:next w:val="af9"/>
    <w:link w:val="Charc"/>
    <w:rsid w:val="001A7CDB"/>
    <w:pPr>
      <w:widowControl w:val="0"/>
    </w:pPr>
    <w:rPr>
      <w:rFonts w:ascii="Times New Roman" w:hAnsi="Times New Roman" w:cs="Times New Roman"/>
      <w:b/>
      <w:bCs/>
      <w:kern w:val="2"/>
      <w:szCs w:val="24"/>
    </w:rPr>
  </w:style>
  <w:style w:type="character" w:customStyle="1" w:styleId="Charc">
    <w:name w:val="批注主题 Char"/>
    <w:basedOn w:val="Charb"/>
    <w:link w:val="afa"/>
    <w:rsid w:val="001A7CDB"/>
    <w:rPr>
      <w:rFonts w:ascii="Calibri" w:hAnsi="Calibri" w:cs="宋体"/>
      <w:b/>
      <w:bCs/>
      <w:kern w:val="2"/>
      <w:sz w:val="21"/>
      <w:szCs w:val="24"/>
    </w:rPr>
  </w:style>
  <w:style w:type="paragraph" w:customStyle="1" w:styleId="13">
    <w:name w:val="1"/>
    <w:basedOn w:val="a"/>
    <w:rsid w:val="001A7CDB"/>
    <w:pPr>
      <w:widowControl w:val="0"/>
      <w:spacing w:before="100" w:beforeAutospacing="1" w:after="120" w:afterAutospacing="1" w:line="360" w:lineRule="auto"/>
      <w:ind w:leftChars="200" w:left="420"/>
    </w:pPr>
    <w:rPr>
      <w:rFonts w:ascii="Times New Roman" w:hAnsi="Times New Roman" w:cs="Times New Roman"/>
      <w:kern w:val="2"/>
      <w:szCs w:val="24"/>
    </w:rPr>
  </w:style>
  <w:style w:type="character" w:styleId="afb">
    <w:name w:val="FollowedHyperlink"/>
    <w:basedOn w:val="a0"/>
    <w:uiPriority w:val="99"/>
    <w:rsid w:val="001A7CDB"/>
    <w:rPr>
      <w:color w:val="800080"/>
      <w:u w:val="single"/>
    </w:rPr>
  </w:style>
  <w:style w:type="paragraph" w:customStyle="1" w:styleId="CharCharCharChar">
    <w:name w:val="Char Char Char Char"/>
    <w:basedOn w:val="a"/>
    <w:autoRedefine/>
    <w:rsid w:val="001A7CDB"/>
    <w:pPr>
      <w:widowControl w:val="0"/>
      <w:tabs>
        <w:tab w:val="num" w:pos="360"/>
      </w:tabs>
    </w:pPr>
    <w:rPr>
      <w:rFonts w:ascii="Times New Roman" w:hAnsi="Times New Roman" w:cs="Times New Roman"/>
      <w:kern w:val="2"/>
      <w:sz w:val="24"/>
      <w:szCs w:val="24"/>
    </w:rPr>
  </w:style>
  <w:style w:type="table" w:styleId="afc">
    <w:name w:val="Table Theme"/>
    <w:basedOn w:val="a1"/>
    <w:rsid w:val="001A7C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d">
    <w:name w:val="Char"/>
    <w:basedOn w:val="a"/>
    <w:rsid w:val="001A7CDB"/>
    <w:pPr>
      <w:widowControl w:val="0"/>
    </w:pPr>
    <w:rPr>
      <w:rFonts w:ascii="Times New Roman" w:hAnsi="Times New Roman" w:cs="Times New Roman"/>
      <w:kern w:val="2"/>
      <w:szCs w:val="24"/>
    </w:rPr>
  </w:style>
  <w:style w:type="paragraph" w:customStyle="1" w:styleId="ParaChar">
    <w:name w:val="默认段落字体 Para Char"/>
    <w:basedOn w:val="a"/>
    <w:autoRedefine/>
    <w:rsid w:val="001A7CDB"/>
    <w:pPr>
      <w:widowControl w:val="0"/>
      <w:numPr>
        <w:numId w:val="3"/>
      </w:numPr>
      <w:tabs>
        <w:tab w:val="num" w:pos="360"/>
      </w:tabs>
      <w:ind w:left="0" w:firstLine="0"/>
    </w:pPr>
    <w:rPr>
      <w:rFonts w:ascii="Times New Roman" w:hAnsi="Times New Roman" w:cs="Times New Roman"/>
      <w:kern w:val="2"/>
      <w:sz w:val="24"/>
      <w:szCs w:val="24"/>
    </w:rPr>
  </w:style>
  <w:style w:type="paragraph" w:customStyle="1" w:styleId="CharCharChar1">
    <w:name w:val="Char Char Char1"/>
    <w:basedOn w:val="a"/>
    <w:rsid w:val="001A7CDB"/>
    <w:pPr>
      <w:widowControl w:val="0"/>
    </w:pPr>
    <w:rPr>
      <w:rFonts w:ascii="Times New Roman" w:hAnsi="Times New Roman" w:cs="Times New Roman"/>
      <w:kern w:val="2"/>
      <w:szCs w:val="24"/>
    </w:rPr>
  </w:style>
  <w:style w:type="character" w:styleId="HTML0">
    <w:name w:val="HTML Typewriter"/>
    <w:basedOn w:val="a0"/>
    <w:rsid w:val="001A7CDB"/>
    <w:rPr>
      <w:rFonts w:ascii="宋体" w:eastAsia="宋体" w:hAnsi="宋体" w:cs="宋体"/>
      <w:sz w:val="24"/>
      <w:szCs w:val="24"/>
    </w:rPr>
  </w:style>
  <w:style w:type="paragraph" w:customStyle="1" w:styleId="afd">
    <w:name w:val="正文所"/>
    <w:basedOn w:val="a"/>
    <w:rsid w:val="001A7CDB"/>
    <w:pPr>
      <w:widowControl w:val="0"/>
      <w:spacing w:line="360" w:lineRule="auto"/>
      <w:ind w:firstLineChars="200" w:firstLine="420"/>
    </w:pPr>
    <w:rPr>
      <w:rFonts w:ascii="Times New Roman" w:hAnsi="Times New Roman" w:cs="Times New Roman"/>
      <w:kern w:val="2"/>
      <w:szCs w:val="24"/>
    </w:rPr>
  </w:style>
  <w:style w:type="paragraph" w:styleId="afe">
    <w:name w:val="footnote text"/>
    <w:basedOn w:val="a"/>
    <w:link w:val="Chare"/>
    <w:rsid w:val="001A7CDB"/>
    <w:pPr>
      <w:spacing w:beforeLines="50" w:afterLines="50" w:line="360" w:lineRule="auto"/>
      <w:ind w:leftChars="500" w:left="500"/>
      <w:jc w:val="left"/>
    </w:pPr>
    <w:rPr>
      <w:rFonts w:ascii="Times" w:eastAsia="Times New Roman" w:hAnsi="Times" w:cs="Times New Roman"/>
      <w:sz w:val="20"/>
      <w:szCs w:val="24"/>
    </w:rPr>
  </w:style>
  <w:style w:type="character" w:customStyle="1" w:styleId="Chare">
    <w:name w:val="脚注文本 Char"/>
    <w:basedOn w:val="a0"/>
    <w:link w:val="afe"/>
    <w:rsid w:val="001A7CDB"/>
    <w:rPr>
      <w:rFonts w:ascii="Times" w:eastAsia="Times New Roman" w:hAnsi="Times"/>
      <w:szCs w:val="24"/>
    </w:rPr>
  </w:style>
  <w:style w:type="paragraph" w:styleId="aff">
    <w:name w:val="Date"/>
    <w:basedOn w:val="a"/>
    <w:next w:val="a"/>
    <w:link w:val="Charf"/>
    <w:rsid w:val="001A7CDB"/>
    <w:pPr>
      <w:widowControl w:val="0"/>
      <w:ind w:leftChars="2500" w:left="100"/>
    </w:pPr>
    <w:rPr>
      <w:rFonts w:ascii="Times New Roman" w:hAnsi="Times New Roman" w:cs="Times New Roman"/>
      <w:kern w:val="2"/>
      <w:szCs w:val="24"/>
    </w:rPr>
  </w:style>
  <w:style w:type="character" w:customStyle="1" w:styleId="Charf">
    <w:name w:val="日期 Char"/>
    <w:basedOn w:val="a0"/>
    <w:link w:val="aff"/>
    <w:rsid w:val="001A7CDB"/>
    <w:rPr>
      <w:kern w:val="2"/>
      <w:sz w:val="21"/>
      <w:szCs w:val="24"/>
    </w:rPr>
  </w:style>
  <w:style w:type="paragraph" w:styleId="aff0">
    <w:name w:val="List Paragraph"/>
    <w:basedOn w:val="a"/>
    <w:uiPriority w:val="34"/>
    <w:qFormat/>
    <w:rsid w:val="001A7CDB"/>
    <w:pPr>
      <w:widowControl w:val="0"/>
      <w:ind w:firstLineChars="200" w:firstLine="420"/>
    </w:pPr>
    <w:rPr>
      <w:rFonts w:cs="Times New Roman"/>
      <w:kern w:val="2"/>
      <w:szCs w:val="22"/>
    </w:rPr>
  </w:style>
  <w:style w:type="table" w:styleId="aff1">
    <w:name w:val="Table Grid"/>
    <w:basedOn w:val="a1"/>
    <w:rsid w:val="001A7C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Revision"/>
    <w:hidden/>
    <w:uiPriority w:val="99"/>
    <w:semiHidden/>
    <w:rsid w:val="001A7CDB"/>
    <w:rPr>
      <w:kern w:val="2"/>
      <w:sz w:val="21"/>
      <w:szCs w:val="24"/>
    </w:rPr>
  </w:style>
  <w:style w:type="paragraph" w:customStyle="1" w:styleId="aff3">
    <w:name w:val="正文正文"/>
    <w:basedOn w:val="a"/>
    <w:rsid w:val="001A7CDB"/>
    <w:pPr>
      <w:widowControl w:val="0"/>
      <w:spacing w:afterLines="25" w:line="360" w:lineRule="auto"/>
      <w:ind w:firstLineChars="200" w:firstLine="200"/>
    </w:pPr>
    <w:rPr>
      <w:rFonts w:ascii="Times New Roman" w:hAnsi="Times New Roman" w:cs="Times New Roman"/>
      <w:kern w:val="2"/>
      <w:sz w:val="24"/>
      <w:szCs w:val="20"/>
    </w:rPr>
  </w:style>
  <w:style w:type="paragraph" w:customStyle="1" w:styleId="ParaCharCharCharCharCharCharChar">
    <w:name w:val="默认段落字体 Para Char Char Char Char Char Char Char"/>
    <w:basedOn w:val="a"/>
    <w:rsid w:val="001A7CDB"/>
    <w:pPr>
      <w:jc w:val="left"/>
    </w:pPr>
    <w:rPr>
      <w:rFonts w:ascii="Tahoma" w:hAnsi="Tahoma" w:cs="Times New Roman"/>
      <w:color w:val="000000"/>
      <w:sz w:val="24"/>
      <w:szCs w:val="20"/>
    </w:rPr>
  </w:style>
  <w:style w:type="character" w:styleId="aff4">
    <w:name w:val="annotation reference"/>
    <w:basedOn w:val="a0"/>
    <w:rsid w:val="00ED0546"/>
    <w:rPr>
      <w:sz w:val="21"/>
      <w:szCs w:val="21"/>
    </w:rPr>
  </w:style>
  <w:style w:type="paragraph" w:customStyle="1" w:styleId="Default">
    <w:name w:val="Default"/>
    <w:uiPriority w:val="99"/>
    <w:rsid w:val="005F157F"/>
    <w:pPr>
      <w:widowControl w:val="0"/>
      <w:autoSpaceDE w:val="0"/>
      <w:autoSpaceDN w:val="0"/>
      <w:adjustRightInd w:val="0"/>
    </w:pPr>
    <w:rPr>
      <w:rFonts w:ascii="宋体" w:cs="宋体"/>
      <w:color w:val="000000"/>
      <w:sz w:val="24"/>
      <w:szCs w:val="24"/>
    </w:rPr>
  </w:style>
  <w:style w:type="paragraph" w:styleId="34">
    <w:name w:val="toc 3"/>
    <w:basedOn w:val="a"/>
    <w:next w:val="a"/>
    <w:autoRedefine/>
    <w:uiPriority w:val="39"/>
    <w:unhideWhenUsed/>
    <w:rsid w:val="00B12736"/>
    <w:pPr>
      <w:widowControl w:val="0"/>
      <w:ind w:leftChars="400" w:left="840"/>
    </w:pPr>
    <w:rPr>
      <w:rFonts w:cs="Times New Roman"/>
      <w:kern w:val="2"/>
      <w:szCs w:val="22"/>
    </w:rPr>
  </w:style>
  <w:style w:type="paragraph" w:styleId="42">
    <w:name w:val="toc 4"/>
    <w:basedOn w:val="a"/>
    <w:next w:val="a"/>
    <w:autoRedefine/>
    <w:uiPriority w:val="39"/>
    <w:unhideWhenUsed/>
    <w:rsid w:val="00B12736"/>
    <w:pPr>
      <w:widowControl w:val="0"/>
      <w:ind w:leftChars="600" w:left="1260"/>
    </w:pPr>
    <w:rPr>
      <w:rFonts w:cs="Times New Roman"/>
      <w:kern w:val="2"/>
      <w:szCs w:val="22"/>
    </w:rPr>
  </w:style>
  <w:style w:type="paragraph" w:styleId="52">
    <w:name w:val="toc 5"/>
    <w:basedOn w:val="a"/>
    <w:next w:val="a"/>
    <w:autoRedefine/>
    <w:uiPriority w:val="39"/>
    <w:unhideWhenUsed/>
    <w:rsid w:val="00B12736"/>
    <w:pPr>
      <w:widowControl w:val="0"/>
      <w:ind w:leftChars="800" w:left="1680"/>
    </w:pPr>
    <w:rPr>
      <w:rFonts w:cs="Times New Roman"/>
      <w:kern w:val="2"/>
      <w:szCs w:val="22"/>
    </w:rPr>
  </w:style>
  <w:style w:type="paragraph" w:styleId="60">
    <w:name w:val="toc 6"/>
    <w:basedOn w:val="a"/>
    <w:next w:val="a"/>
    <w:autoRedefine/>
    <w:uiPriority w:val="39"/>
    <w:unhideWhenUsed/>
    <w:rsid w:val="00B12736"/>
    <w:pPr>
      <w:widowControl w:val="0"/>
      <w:ind w:leftChars="1000" w:left="2100"/>
    </w:pPr>
    <w:rPr>
      <w:rFonts w:cs="Times New Roman"/>
      <w:kern w:val="2"/>
      <w:szCs w:val="22"/>
    </w:rPr>
  </w:style>
  <w:style w:type="paragraph" w:styleId="70">
    <w:name w:val="toc 7"/>
    <w:basedOn w:val="a"/>
    <w:next w:val="a"/>
    <w:autoRedefine/>
    <w:uiPriority w:val="39"/>
    <w:unhideWhenUsed/>
    <w:rsid w:val="00B12736"/>
    <w:pPr>
      <w:widowControl w:val="0"/>
      <w:ind w:leftChars="1200" w:left="2520"/>
    </w:pPr>
    <w:rPr>
      <w:rFonts w:cs="Times New Roman"/>
      <w:kern w:val="2"/>
      <w:szCs w:val="22"/>
    </w:rPr>
  </w:style>
  <w:style w:type="paragraph" w:styleId="80">
    <w:name w:val="toc 8"/>
    <w:basedOn w:val="a"/>
    <w:next w:val="a"/>
    <w:autoRedefine/>
    <w:uiPriority w:val="39"/>
    <w:unhideWhenUsed/>
    <w:rsid w:val="00B12736"/>
    <w:pPr>
      <w:widowControl w:val="0"/>
      <w:ind w:leftChars="1400" w:left="2940"/>
    </w:pPr>
    <w:rPr>
      <w:rFonts w:cs="Times New Roman"/>
      <w:kern w:val="2"/>
      <w:szCs w:val="22"/>
    </w:rPr>
  </w:style>
  <w:style w:type="paragraph" w:styleId="90">
    <w:name w:val="toc 9"/>
    <w:basedOn w:val="a"/>
    <w:next w:val="a"/>
    <w:autoRedefine/>
    <w:uiPriority w:val="39"/>
    <w:unhideWhenUsed/>
    <w:rsid w:val="00B12736"/>
    <w:pPr>
      <w:widowControl w:val="0"/>
      <w:ind w:leftChars="1600" w:left="3360"/>
    </w:pPr>
    <w:rPr>
      <w:rFonts w:cs="Times New Roman"/>
      <w:kern w:val="2"/>
      <w:szCs w:val="22"/>
    </w:rPr>
  </w:style>
  <w:style w:type="character" w:customStyle="1" w:styleId="Char10">
    <w:name w:val="纯文本 Char1"/>
    <w:basedOn w:val="a0"/>
    <w:semiHidden/>
    <w:locked/>
    <w:rsid w:val="0082293C"/>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220">
      <w:bodyDiv w:val="1"/>
      <w:marLeft w:val="0"/>
      <w:marRight w:val="0"/>
      <w:marTop w:val="0"/>
      <w:marBottom w:val="0"/>
      <w:divBdr>
        <w:top w:val="none" w:sz="0" w:space="0" w:color="auto"/>
        <w:left w:val="none" w:sz="0" w:space="0" w:color="auto"/>
        <w:bottom w:val="none" w:sz="0" w:space="0" w:color="auto"/>
        <w:right w:val="none" w:sz="0" w:space="0" w:color="auto"/>
      </w:divBdr>
    </w:div>
    <w:div w:id="9912986">
      <w:bodyDiv w:val="1"/>
      <w:marLeft w:val="0"/>
      <w:marRight w:val="0"/>
      <w:marTop w:val="0"/>
      <w:marBottom w:val="0"/>
      <w:divBdr>
        <w:top w:val="none" w:sz="0" w:space="0" w:color="auto"/>
        <w:left w:val="none" w:sz="0" w:space="0" w:color="auto"/>
        <w:bottom w:val="none" w:sz="0" w:space="0" w:color="auto"/>
        <w:right w:val="none" w:sz="0" w:space="0" w:color="auto"/>
      </w:divBdr>
    </w:div>
    <w:div w:id="10767127">
      <w:bodyDiv w:val="1"/>
      <w:marLeft w:val="0"/>
      <w:marRight w:val="0"/>
      <w:marTop w:val="0"/>
      <w:marBottom w:val="0"/>
      <w:divBdr>
        <w:top w:val="none" w:sz="0" w:space="0" w:color="auto"/>
        <w:left w:val="none" w:sz="0" w:space="0" w:color="auto"/>
        <w:bottom w:val="none" w:sz="0" w:space="0" w:color="auto"/>
        <w:right w:val="none" w:sz="0" w:space="0" w:color="auto"/>
      </w:divBdr>
    </w:div>
    <w:div w:id="20672710">
      <w:bodyDiv w:val="1"/>
      <w:marLeft w:val="0"/>
      <w:marRight w:val="0"/>
      <w:marTop w:val="0"/>
      <w:marBottom w:val="0"/>
      <w:divBdr>
        <w:top w:val="none" w:sz="0" w:space="0" w:color="auto"/>
        <w:left w:val="none" w:sz="0" w:space="0" w:color="auto"/>
        <w:bottom w:val="none" w:sz="0" w:space="0" w:color="auto"/>
        <w:right w:val="none" w:sz="0" w:space="0" w:color="auto"/>
      </w:divBdr>
    </w:div>
    <w:div w:id="23409071">
      <w:bodyDiv w:val="1"/>
      <w:marLeft w:val="0"/>
      <w:marRight w:val="0"/>
      <w:marTop w:val="0"/>
      <w:marBottom w:val="0"/>
      <w:divBdr>
        <w:top w:val="none" w:sz="0" w:space="0" w:color="auto"/>
        <w:left w:val="none" w:sz="0" w:space="0" w:color="auto"/>
        <w:bottom w:val="none" w:sz="0" w:space="0" w:color="auto"/>
        <w:right w:val="none" w:sz="0" w:space="0" w:color="auto"/>
      </w:divBdr>
    </w:div>
    <w:div w:id="31080739">
      <w:bodyDiv w:val="1"/>
      <w:marLeft w:val="0"/>
      <w:marRight w:val="0"/>
      <w:marTop w:val="0"/>
      <w:marBottom w:val="0"/>
      <w:divBdr>
        <w:top w:val="none" w:sz="0" w:space="0" w:color="auto"/>
        <w:left w:val="none" w:sz="0" w:space="0" w:color="auto"/>
        <w:bottom w:val="none" w:sz="0" w:space="0" w:color="auto"/>
        <w:right w:val="none" w:sz="0" w:space="0" w:color="auto"/>
      </w:divBdr>
    </w:div>
    <w:div w:id="38285867">
      <w:bodyDiv w:val="1"/>
      <w:marLeft w:val="0"/>
      <w:marRight w:val="0"/>
      <w:marTop w:val="0"/>
      <w:marBottom w:val="0"/>
      <w:divBdr>
        <w:top w:val="none" w:sz="0" w:space="0" w:color="auto"/>
        <w:left w:val="none" w:sz="0" w:space="0" w:color="auto"/>
        <w:bottom w:val="none" w:sz="0" w:space="0" w:color="auto"/>
        <w:right w:val="none" w:sz="0" w:space="0" w:color="auto"/>
      </w:divBdr>
    </w:div>
    <w:div w:id="39332403">
      <w:bodyDiv w:val="1"/>
      <w:marLeft w:val="0"/>
      <w:marRight w:val="0"/>
      <w:marTop w:val="0"/>
      <w:marBottom w:val="0"/>
      <w:divBdr>
        <w:top w:val="none" w:sz="0" w:space="0" w:color="auto"/>
        <w:left w:val="none" w:sz="0" w:space="0" w:color="auto"/>
        <w:bottom w:val="none" w:sz="0" w:space="0" w:color="auto"/>
        <w:right w:val="none" w:sz="0" w:space="0" w:color="auto"/>
      </w:divBdr>
    </w:div>
    <w:div w:id="45685589">
      <w:bodyDiv w:val="1"/>
      <w:marLeft w:val="0"/>
      <w:marRight w:val="0"/>
      <w:marTop w:val="0"/>
      <w:marBottom w:val="0"/>
      <w:divBdr>
        <w:top w:val="none" w:sz="0" w:space="0" w:color="auto"/>
        <w:left w:val="none" w:sz="0" w:space="0" w:color="auto"/>
        <w:bottom w:val="none" w:sz="0" w:space="0" w:color="auto"/>
        <w:right w:val="none" w:sz="0" w:space="0" w:color="auto"/>
      </w:divBdr>
    </w:div>
    <w:div w:id="46496626">
      <w:bodyDiv w:val="1"/>
      <w:marLeft w:val="0"/>
      <w:marRight w:val="0"/>
      <w:marTop w:val="0"/>
      <w:marBottom w:val="0"/>
      <w:divBdr>
        <w:top w:val="none" w:sz="0" w:space="0" w:color="auto"/>
        <w:left w:val="none" w:sz="0" w:space="0" w:color="auto"/>
        <w:bottom w:val="none" w:sz="0" w:space="0" w:color="auto"/>
        <w:right w:val="none" w:sz="0" w:space="0" w:color="auto"/>
      </w:divBdr>
    </w:div>
    <w:div w:id="50809673">
      <w:bodyDiv w:val="1"/>
      <w:marLeft w:val="0"/>
      <w:marRight w:val="0"/>
      <w:marTop w:val="0"/>
      <w:marBottom w:val="0"/>
      <w:divBdr>
        <w:top w:val="none" w:sz="0" w:space="0" w:color="auto"/>
        <w:left w:val="none" w:sz="0" w:space="0" w:color="auto"/>
        <w:bottom w:val="none" w:sz="0" w:space="0" w:color="auto"/>
        <w:right w:val="none" w:sz="0" w:space="0" w:color="auto"/>
      </w:divBdr>
    </w:div>
    <w:div w:id="55973684">
      <w:bodyDiv w:val="1"/>
      <w:marLeft w:val="0"/>
      <w:marRight w:val="0"/>
      <w:marTop w:val="0"/>
      <w:marBottom w:val="0"/>
      <w:divBdr>
        <w:top w:val="none" w:sz="0" w:space="0" w:color="auto"/>
        <w:left w:val="none" w:sz="0" w:space="0" w:color="auto"/>
        <w:bottom w:val="none" w:sz="0" w:space="0" w:color="auto"/>
        <w:right w:val="none" w:sz="0" w:space="0" w:color="auto"/>
      </w:divBdr>
    </w:div>
    <w:div w:id="64452329">
      <w:bodyDiv w:val="1"/>
      <w:marLeft w:val="0"/>
      <w:marRight w:val="0"/>
      <w:marTop w:val="0"/>
      <w:marBottom w:val="0"/>
      <w:divBdr>
        <w:top w:val="none" w:sz="0" w:space="0" w:color="auto"/>
        <w:left w:val="none" w:sz="0" w:space="0" w:color="auto"/>
        <w:bottom w:val="none" w:sz="0" w:space="0" w:color="auto"/>
        <w:right w:val="none" w:sz="0" w:space="0" w:color="auto"/>
      </w:divBdr>
    </w:div>
    <w:div w:id="68964508">
      <w:bodyDiv w:val="1"/>
      <w:marLeft w:val="0"/>
      <w:marRight w:val="0"/>
      <w:marTop w:val="0"/>
      <w:marBottom w:val="0"/>
      <w:divBdr>
        <w:top w:val="none" w:sz="0" w:space="0" w:color="auto"/>
        <w:left w:val="none" w:sz="0" w:space="0" w:color="auto"/>
        <w:bottom w:val="none" w:sz="0" w:space="0" w:color="auto"/>
        <w:right w:val="none" w:sz="0" w:space="0" w:color="auto"/>
      </w:divBdr>
    </w:div>
    <w:div w:id="77946875">
      <w:bodyDiv w:val="1"/>
      <w:marLeft w:val="0"/>
      <w:marRight w:val="0"/>
      <w:marTop w:val="0"/>
      <w:marBottom w:val="0"/>
      <w:divBdr>
        <w:top w:val="none" w:sz="0" w:space="0" w:color="auto"/>
        <w:left w:val="none" w:sz="0" w:space="0" w:color="auto"/>
        <w:bottom w:val="none" w:sz="0" w:space="0" w:color="auto"/>
        <w:right w:val="none" w:sz="0" w:space="0" w:color="auto"/>
      </w:divBdr>
    </w:div>
    <w:div w:id="87628877">
      <w:bodyDiv w:val="1"/>
      <w:marLeft w:val="0"/>
      <w:marRight w:val="0"/>
      <w:marTop w:val="0"/>
      <w:marBottom w:val="0"/>
      <w:divBdr>
        <w:top w:val="none" w:sz="0" w:space="0" w:color="auto"/>
        <w:left w:val="none" w:sz="0" w:space="0" w:color="auto"/>
        <w:bottom w:val="none" w:sz="0" w:space="0" w:color="auto"/>
        <w:right w:val="none" w:sz="0" w:space="0" w:color="auto"/>
      </w:divBdr>
    </w:div>
    <w:div w:id="93476582">
      <w:bodyDiv w:val="1"/>
      <w:marLeft w:val="0"/>
      <w:marRight w:val="0"/>
      <w:marTop w:val="0"/>
      <w:marBottom w:val="0"/>
      <w:divBdr>
        <w:top w:val="none" w:sz="0" w:space="0" w:color="auto"/>
        <w:left w:val="none" w:sz="0" w:space="0" w:color="auto"/>
        <w:bottom w:val="none" w:sz="0" w:space="0" w:color="auto"/>
        <w:right w:val="none" w:sz="0" w:space="0" w:color="auto"/>
      </w:divBdr>
    </w:div>
    <w:div w:id="105933017">
      <w:bodyDiv w:val="1"/>
      <w:marLeft w:val="0"/>
      <w:marRight w:val="0"/>
      <w:marTop w:val="0"/>
      <w:marBottom w:val="0"/>
      <w:divBdr>
        <w:top w:val="none" w:sz="0" w:space="0" w:color="auto"/>
        <w:left w:val="none" w:sz="0" w:space="0" w:color="auto"/>
        <w:bottom w:val="none" w:sz="0" w:space="0" w:color="auto"/>
        <w:right w:val="none" w:sz="0" w:space="0" w:color="auto"/>
      </w:divBdr>
    </w:div>
    <w:div w:id="108475119">
      <w:bodyDiv w:val="1"/>
      <w:marLeft w:val="0"/>
      <w:marRight w:val="0"/>
      <w:marTop w:val="0"/>
      <w:marBottom w:val="0"/>
      <w:divBdr>
        <w:top w:val="none" w:sz="0" w:space="0" w:color="auto"/>
        <w:left w:val="none" w:sz="0" w:space="0" w:color="auto"/>
        <w:bottom w:val="none" w:sz="0" w:space="0" w:color="auto"/>
        <w:right w:val="none" w:sz="0" w:space="0" w:color="auto"/>
      </w:divBdr>
    </w:div>
    <w:div w:id="114839248">
      <w:bodyDiv w:val="1"/>
      <w:marLeft w:val="0"/>
      <w:marRight w:val="0"/>
      <w:marTop w:val="0"/>
      <w:marBottom w:val="0"/>
      <w:divBdr>
        <w:top w:val="none" w:sz="0" w:space="0" w:color="auto"/>
        <w:left w:val="none" w:sz="0" w:space="0" w:color="auto"/>
        <w:bottom w:val="none" w:sz="0" w:space="0" w:color="auto"/>
        <w:right w:val="none" w:sz="0" w:space="0" w:color="auto"/>
      </w:divBdr>
    </w:div>
    <w:div w:id="125664740">
      <w:bodyDiv w:val="1"/>
      <w:marLeft w:val="0"/>
      <w:marRight w:val="0"/>
      <w:marTop w:val="0"/>
      <w:marBottom w:val="0"/>
      <w:divBdr>
        <w:top w:val="none" w:sz="0" w:space="0" w:color="auto"/>
        <w:left w:val="none" w:sz="0" w:space="0" w:color="auto"/>
        <w:bottom w:val="none" w:sz="0" w:space="0" w:color="auto"/>
        <w:right w:val="none" w:sz="0" w:space="0" w:color="auto"/>
      </w:divBdr>
    </w:div>
    <w:div w:id="130708680">
      <w:bodyDiv w:val="1"/>
      <w:marLeft w:val="0"/>
      <w:marRight w:val="0"/>
      <w:marTop w:val="0"/>
      <w:marBottom w:val="0"/>
      <w:divBdr>
        <w:top w:val="none" w:sz="0" w:space="0" w:color="auto"/>
        <w:left w:val="none" w:sz="0" w:space="0" w:color="auto"/>
        <w:bottom w:val="none" w:sz="0" w:space="0" w:color="auto"/>
        <w:right w:val="none" w:sz="0" w:space="0" w:color="auto"/>
      </w:divBdr>
    </w:div>
    <w:div w:id="207499870">
      <w:bodyDiv w:val="1"/>
      <w:marLeft w:val="0"/>
      <w:marRight w:val="0"/>
      <w:marTop w:val="0"/>
      <w:marBottom w:val="0"/>
      <w:divBdr>
        <w:top w:val="none" w:sz="0" w:space="0" w:color="auto"/>
        <w:left w:val="none" w:sz="0" w:space="0" w:color="auto"/>
        <w:bottom w:val="none" w:sz="0" w:space="0" w:color="auto"/>
        <w:right w:val="none" w:sz="0" w:space="0" w:color="auto"/>
      </w:divBdr>
    </w:div>
    <w:div w:id="209465347">
      <w:bodyDiv w:val="1"/>
      <w:marLeft w:val="0"/>
      <w:marRight w:val="0"/>
      <w:marTop w:val="0"/>
      <w:marBottom w:val="0"/>
      <w:divBdr>
        <w:top w:val="none" w:sz="0" w:space="0" w:color="auto"/>
        <w:left w:val="none" w:sz="0" w:space="0" w:color="auto"/>
        <w:bottom w:val="none" w:sz="0" w:space="0" w:color="auto"/>
        <w:right w:val="none" w:sz="0" w:space="0" w:color="auto"/>
      </w:divBdr>
    </w:div>
    <w:div w:id="212081669">
      <w:bodyDiv w:val="1"/>
      <w:marLeft w:val="0"/>
      <w:marRight w:val="0"/>
      <w:marTop w:val="0"/>
      <w:marBottom w:val="0"/>
      <w:divBdr>
        <w:top w:val="none" w:sz="0" w:space="0" w:color="auto"/>
        <w:left w:val="none" w:sz="0" w:space="0" w:color="auto"/>
        <w:bottom w:val="none" w:sz="0" w:space="0" w:color="auto"/>
        <w:right w:val="none" w:sz="0" w:space="0" w:color="auto"/>
      </w:divBdr>
    </w:div>
    <w:div w:id="214775797">
      <w:bodyDiv w:val="1"/>
      <w:marLeft w:val="0"/>
      <w:marRight w:val="0"/>
      <w:marTop w:val="0"/>
      <w:marBottom w:val="0"/>
      <w:divBdr>
        <w:top w:val="none" w:sz="0" w:space="0" w:color="auto"/>
        <w:left w:val="none" w:sz="0" w:space="0" w:color="auto"/>
        <w:bottom w:val="none" w:sz="0" w:space="0" w:color="auto"/>
        <w:right w:val="none" w:sz="0" w:space="0" w:color="auto"/>
      </w:divBdr>
    </w:div>
    <w:div w:id="222834760">
      <w:bodyDiv w:val="1"/>
      <w:marLeft w:val="0"/>
      <w:marRight w:val="0"/>
      <w:marTop w:val="0"/>
      <w:marBottom w:val="0"/>
      <w:divBdr>
        <w:top w:val="none" w:sz="0" w:space="0" w:color="auto"/>
        <w:left w:val="none" w:sz="0" w:space="0" w:color="auto"/>
        <w:bottom w:val="none" w:sz="0" w:space="0" w:color="auto"/>
        <w:right w:val="none" w:sz="0" w:space="0" w:color="auto"/>
      </w:divBdr>
    </w:div>
    <w:div w:id="236985189">
      <w:bodyDiv w:val="1"/>
      <w:marLeft w:val="0"/>
      <w:marRight w:val="0"/>
      <w:marTop w:val="0"/>
      <w:marBottom w:val="0"/>
      <w:divBdr>
        <w:top w:val="none" w:sz="0" w:space="0" w:color="auto"/>
        <w:left w:val="none" w:sz="0" w:space="0" w:color="auto"/>
        <w:bottom w:val="none" w:sz="0" w:space="0" w:color="auto"/>
        <w:right w:val="none" w:sz="0" w:space="0" w:color="auto"/>
      </w:divBdr>
    </w:div>
    <w:div w:id="239481571">
      <w:bodyDiv w:val="1"/>
      <w:marLeft w:val="0"/>
      <w:marRight w:val="0"/>
      <w:marTop w:val="0"/>
      <w:marBottom w:val="0"/>
      <w:divBdr>
        <w:top w:val="none" w:sz="0" w:space="0" w:color="auto"/>
        <w:left w:val="none" w:sz="0" w:space="0" w:color="auto"/>
        <w:bottom w:val="none" w:sz="0" w:space="0" w:color="auto"/>
        <w:right w:val="none" w:sz="0" w:space="0" w:color="auto"/>
      </w:divBdr>
    </w:div>
    <w:div w:id="253325918">
      <w:bodyDiv w:val="1"/>
      <w:marLeft w:val="0"/>
      <w:marRight w:val="0"/>
      <w:marTop w:val="0"/>
      <w:marBottom w:val="0"/>
      <w:divBdr>
        <w:top w:val="none" w:sz="0" w:space="0" w:color="auto"/>
        <w:left w:val="none" w:sz="0" w:space="0" w:color="auto"/>
        <w:bottom w:val="none" w:sz="0" w:space="0" w:color="auto"/>
        <w:right w:val="none" w:sz="0" w:space="0" w:color="auto"/>
      </w:divBdr>
    </w:div>
    <w:div w:id="256136717">
      <w:bodyDiv w:val="1"/>
      <w:marLeft w:val="0"/>
      <w:marRight w:val="0"/>
      <w:marTop w:val="0"/>
      <w:marBottom w:val="0"/>
      <w:divBdr>
        <w:top w:val="none" w:sz="0" w:space="0" w:color="auto"/>
        <w:left w:val="none" w:sz="0" w:space="0" w:color="auto"/>
        <w:bottom w:val="none" w:sz="0" w:space="0" w:color="auto"/>
        <w:right w:val="none" w:sz="0" w:space="0" w:color="auto"/>
      </w:divBdr>
    </w:div>
    <w:div w:id="277756509">
      <w:bodyDiv w:val="1"/>
      <w:marLeft w:val="0"/>
      <w:marRight w:val="0"/>
      <w:marTop w:val="0"/>
      <w:marBottom w:val="0"/>
      <w:divBdr>
        <w:top w:val="none" w:sz="0" w:space="0" w:color="auto"/>
        <w:left w:val="none" w:sz="0" w:space="0" w:color="auto"/>
        <w:bottom w:val="none" w:sz="0" w:space="0" w:color="auto"/>
        <w:right w:val="none" w:sz="0" w:space="0" w:color="auto"/>
      </w:divBdr>
    </w:div>
    <w:div w:id="291636745">
      <w:bodyDiv w:val="1"/>
      <w:marLeft w:val="0"/>
      <w:marRight w:val="0"/>
      <w:marTop w:val="0"/>
      <w:marBottom w:val="0"/>
      <w:divBdr>
        <w:top w:val="none" w:sz="0" w:space="0" w:color="auto"/>
        <w:left w:val="none" w:sz="0" w:space="0" w:color="auto"/>
        <w:bottom w:val="none" w:sz="0" w:space="0" w:color="auto"/>
        <w:right w:val="none" w:sz="0" w:space="0" w:color="auto"/>
      </w:divBdr>
    </w:div>
    <w:div w:id="295067019">
      <w:bodyDiv w:val="1"/>
      <w:marLeft w:val="0"/>
      <w:marRight w:val="0"/>
      <w:marTop w:val="0"/>
      <w:marBottom w:val="0"/>
      <w:divBdr>
        <w:top w:val="none" w:sz="0" w:space="0" w:color="auto"/>
        <w:left w:val="none" w:sz="0" w:space="0" w:color="auto"/>
        <w:bottom w:val="none" w:sz="0" w:space="0" w:color="auto"/>
        <w:right w:val="none" w:sz="0" w:space="0" w:color="auto"/>
      </w:divBdr>
    </w:div>
    <w:div w:id="310908157">
      <w:bodyDiv w:val="1"/>
      <w:marLeft w:val="0"/>
      <w:marRight w:val="0"/>
      <w:marTop w:val="0"/>
      <w:marBottom w:val="0"/>
      <w:divBdr>
        <w:top w:val="none" w:sz="0" w:space="0" w:color="auto"/>
        <w:left w:val="none" w:sz="0" w:space="0" w:color="auto"/>
        <w:bottom w:val="none" w:sz="0" w:space="0" w:color="auto"/>
        <w:right w:val="none" w:sz="0" w:space="0" w:color="auto"/>
      </w:divBdr>
    </w:div>
    <w:div w:id="330987171">
      <w:bodyDiv w:val="1"/>
      <w:marLeft w:val="0"/>
      <w:marRight w:val="0"/>
      <w:marTop w:val="0"/>
      <w:marBottom w:val="0"/>
      <w:divBdr>
        <w:top w:val="none" w:sz="0" w:space="0" w:color="auto"/>
        <w:left w:val="none" w:sz="0" w:space="0" w:color="auto"/>
        <w:bottom w:val="none" w:sz="0" w:space="0" w:color="auto"/>
        <w:right w:val="none" w:sz="0" w:space="0" w:color="auto"/>
      </w:divBdr>
    </w:div>
    <w:div w:id="343673643">
      <w:bodyDiv w:val="1"/>
      <w:marLeft w:val="0"/>
      <w:marRight w:val="0"/>
      <w:marTop w:val="0"/>
      <w:marBottom w:val="0"/>
      <w:divBdr>
        <w:top w:val="none" w:sz="0" w:space="0" w:color="auto"/>
        <w:left w:val="none" w:sz="0" w:space="0" w:color="auto"/>
        <w:bottom w:val="none" w:sz="0" w:space="0" w:color="auto"/>
        <w:right w:val="none" w:sz="0" w:space="0" w:color="auto"/>
      </w:divBdr>
    </w:div>
    <w:div w:id="343748917">
      <w:bodyDiv w:val="1"/>
      <w:marLeft w:val="0"/>
      <w:marRight w:val="0"/>
      <w:marTop w:val="0"/>
      <w:marBottom w:val="0"/>
      <w:divBdr>
        <w:top w:val="none" w:sz="0" w:space="0" w:color="auto"/>
        <w:left w:val="none" w:sz="0" w:space="0" w:color="auto"/>
        <w:bottom w:val="none" w:sz="0" w:space="0" w:color="auto"/>
        <w:right w:val="none" w:sz="0" w:space="0" w:color="auto"/>
      </w:divBdr>
    </w:div>
    <w:div w:id="345787660">
      <w:bodyDiv w:val="1"/>
      <w:marLeft w:val="0"/>
      <w:marRight w:val="0"/>
      <w:marTop w:val="0"/>
      <w:marBottom w:val="0"/>
      <w:divBdr>
        <w:top w:val="none" w:sz="0" w:space="0" w:color="auto"/>
        <w:left w:val="none" w:sz="0" w:space="0" w:color="auto"/>
        <w:bottom w:val="none" w:sz="0" w:space="0" w:color="auto"/>
        <w:right w:val="none" w:sz="0" w:space="0" w:color="auto"/>
      </w:divBdr>
    </w:div>
    <w:div w:id="351883948">
      <w:bodyDiv w:val="1"/>
      <w:marLeft w:val="0"/>
      <w:marRight w:val="0"/>
      <w:marTop w:val="0"/>
      <w:marBottom w:val="0"/>
      <w:divBdr>
        <w:top w:val="none" w:sz="0" w:space="0" w:color="auto"/>
        <w:left w:val="none" w:sz="0" w:space="0" w:color="auto"/>
        <w:bottom w:val="none" w:sz="0" w:space="0" w:color="auto"/>
        <w:right w:val="none" w:sz="0" w:space="0" w:color="auto"/>
      </w:divBdr>
    </w:div>
    <w:div w:id="354112518">
      <w:bodyDiv w:val="1"/>
      <w:marLeft w:val="0"/>
      <w:marRight w:val="0"/>
      <w:marTop w:val="0"/>
      <w:marBottom w:val="0"/>
      <w:divBdr>
        <w:top w:val="none" w:sz="0" w:space="0" w:color="auto"/>
        <w:left w:val="none" w:sz="0" w:space="0" w:color="auto"/>
        <w:bottom w:val="none" w:sz="0" w:space="0" w:color="auto"/>
        <w:right w:val="none" w:sz="0" w:space="0" w:color="auto"/>
      </w:divBdr>
    </w:div>
    <w:div w:id="359744187">
      <w:bodyDiv w:val="1"/>
      <w:marLeft w:val="0"/>
      <w:marRight w:val="0"/>
      <w:marTop w:val="0"/>
      <w:marBottom w:val="0"/>
      <w:divBdr>
        <w:top w:val="none" w:sz="0" w:space="0" w:color="auto"/>
        <w:left w:val="none" w:sz="0" w:space="0" w:color="auto"/>
        <w:bottom w:val="none" w:sz="0" w:space="0" w:color="auto"/>
        <w:right w:val="none" w:sz="0" w:space="0" w:color="auto"/>
      </w:divBdr>
    </w:div>
    <w:div w:id="361856600">
      <w:bodyDiv w:val="1"/>
      <w:marLeft w:val="0"/>
      <w:marRight w:val="0"/>
      <w:marTop w:val="0"/>
      <w:marBottom w:val="0"/>
      <w:divBdr>
        <w:top w:val="none" w:sz="0" w:space="0" w:color="auto"/>
        <w:left w:val="none" w:sz="0" w:space="0" w:color="auto"/>
        <w:bottom w:val="none" w:sz="0" w:space="0" w:color="auto"/>
        <w:right w:val="none" w:sz="0" w:space="0" w:color="auto"/>
      </w:divBdr>
    </w:div>
    <w:div w:id="374963083">
      <w:bodyDiv w:val="1"/>
      <w:marLeft w:val="0"/>
      <w:marRight w:val="0"/>
      <w:marTop w:val="0"/>
      <w:marBottom w:val="0"/>
      <w:divBdr>
        <w:top w:val="none" w:sz="0" w:space="0" w:color="auto"/>
        <w:left w:val="none" w:sz="0" w:space="0" w:color="auto"/>
        <w:bottom w:val="none" w:sz="0" w:space="0" w:color="auto"/>
        <w:right w:val="none" w:sz="0" w:space="0" w:color="auto"/>
      </w:divBdr>
    </w:div>
    <w:div w:id="375813299">
      <w:bodyDiv w:val="1"/>
      <w:marLeft w:val="0"/>
      <w:marRight w:val="0"/>
      <w:marTop w:val="0"/>
      <w:marBottom w:val="0"/>
      <w:divBdr>
        <w:top w:val="none" w:sz="0" w:space="0" w:color="auto"/>
        <w:left w:val="none" w:sz="0" w:space="0" w:color="auto"/>
        <w:bottom w:val="none" w:sz="0" w:space="0" w:color="auto"/>
        <w:right w:val="none" w:sz="0" w:space="0" w:color="auto"/>
      </w:divBdr>
    </w:div>
    <w:div w:id="378894557">
      <w:bodyDiv w:val="1"/>
      <w:marLeft w:val="0"/>
      <w:marRight w:val="0"/>
      <w:marTop w:val="0"/>
      <w:marBottom w:val="0"/>
      <w:divBdr>
        <w:top w:val="none" w:sz="0" w:space="0" w:color="auto"/>
        <w:left w:val="none" w:sz="0" w:space="0" w:color="auto"/>
        <w:bottom w:val="none" w:sz="0" w:space="0" w:color="auto"/>
        <w:right w:val="none" w:sz="0" w:space="0" w:color="auto"/>
      </w:divBdr>
    </w:div>
    <w:div w:id="380637996">
      <w:bodyDiv w:val="1"/>
      <w:marLeft w:val="0"/>
      <w:marRight w:val="0"/>
      <w:marTop w:val="0"/>
      <w:marBottom w:val="0"/>
      <w:divBdr>
        <w:top w:val="none" w:sz="0" w:space="0" w:color="auto"/>
        <w:left w:val="none" w:sz="0" w:space="0" w:color="auto"/>
        <w:bottom w:val="none" w:sz="0" w:space="0" w:color="auto"/>
        <w:right w:val="none" w:sz="0" w:space="0" w:color="auto"/>
      </w:divBdr>
    </w:div>
    <w:div w:id="382946106">
      <w:bodyDiv w:val="1"/>
      <w:marLeft w:val="0"/>
      <w:marRight w:val="0"/>
      <w:marTop w:val="0"/>
      <w:marBottom w:val="0"/>
      <w:divBdr>
        <w:top w:val="none" w:sz="0" w:space="0" w:color="auto"/>
        <w:left w:val="none" w:sz="0" w:space="0" w:color="auto"/>
        <w:bottom w:val="none" w:sz="0" w:space="0" w:color="auto"/>
        <w:right w:val="none" w:sz="0" w:space="0" w:color="auto"/>
      </w:divBdr>
    </w:div>
    <w:div w:id="384985595">
      <w:bodyDiv w:val="1"/>
      <w:marLeft w:val="0"/>
      <w:marRight w:val="0"/>
      <w:marTop w:val="0"/>
      <w:marBottom w:val="0"/>
      <w:divBdr>
        <w:top w:val="none" w:sz="0" w:space="0" w:color="auto"/>
        <w:left w:val="none" w:sz="0" w:space="0" w:color="auto"/>
        <w:bottom w:val="none" w:sz="0" w:space="0" w:color="auto"/>
        <w:right w:val="none" w:sz="0" w:space="0" w:color="auto"/>
      </w:divBdr>
    </w:div>
    <w:div w:id="390155320">
      <w:bodyDiv w:val="1"/>
      <w:marLeft w:val="0"/>
      <w:marRight w:val="0"/>
      <w:marTop w:val="0"/>
      <w:marBottom w:val="0"/>
      <w:divBdr>
        <w:top w:val="none" w:sz="0" w:space="0" w:color="auto"/>
        <w:left w:val="none" w:sz="0" w:space="0" w:color="auto"/>
        <w:bottom w:val="none" w:sz="0" w:space="0" w:color="auto"/>
        <w:right w:val="none" w:sz="0" w:space="0" w:color="auto"/>
      </w:divBdr>
    </w:div>
    <w:div w:id="393234258">
      <w:bodyDiv w:val="1"/>
      <w:marLeft w:val="0"/>
      <w:marRight w:val="0"/>
      <w:marTop w:val="0"/>
      <w:marBottom w:val="0"/>
      <w:divBdr>
        <w:top w:val="none" w:sz="0" w:space="0" w:color="auto"/>
        <w:left w:val="none" w:sz="0" w:space="0" w:color="auto"/>
        <w:bottom w:val="none" w:sz="0" w:space="0" w:color="auto"/>
        <w:right w:val="none" w:sz="0" w:space="0" w:color="auto"/>
      </w:divBdr>
    </w:div>
    <w:div w:id="411970025">
      <w:bodyDiv w:val="1"/>
      <w:marLeft w:val="0"/>
      <w:marRight w:val="0"/>
      <w:marTop w:val="0"/>
      <w:marBottom w:val="0"/>
      <w:divBdr>
        <w:top w:val="none" w:sz="0" w:space="0" w:color="auto"/>
        <w:left w:val="none" w:sz="0" w:space="0" w:color="auto"/>
        <w:bottom w:val="none" w:sz="0" w:space="0" w:color="auto"/>
        <w:right w:val="none" w:sz="0" w:space="0" w:color="auto"/>
      </w:divBdr>
    </w:div>
    <w:div w:id="425855662">
      <w:bodyDiv w:val="1"/>
      <w:marLeft w:val="0"/>
      <w:marRight w:val="0"/>
      <w:marTop w:val="0"/>
      <w:marBottom w:val="0"/>
      <w:divBdr>
        <w:top w:val="none" w:sz="0" w:space="0" w:color="auto"/>
        <w:left w:val="none" w:sz="0" w:space="0" w:color="auto"/>
        <w:bottom w:val="none" w:sz="0" w:space="0" w:color="auto"/>
        <w:right w:val="none" w:sz="0" w:space="0" w:color="auto"/>
      </w:divBdr>
    </w:div>
    <w:div w:id="446655334">
      <w:bodyDiv w:val="1"/>
      <w:marLeft w:val="0"/>
      <w:marRight w:val="0"/>
      <w:marTop w:val="0"/>
      <w:marBottom w:val="0"/>
      <w:divBdr>
        <w:top w:val="none" w:sz="0" w:space="0" w:color="auto"/>
        <w:left w:val="none" w:sz="0" w:space="0" w:color="auto"/>
        <w:bottom w:val="none" w:sz="0" w:space="0" w:color="auto"/>
        <w:right w:val="none" w:sz="0" w:space="0" w:color="auto"/>
      </w:divBdr>
    </w:div>
    <w:div w:id="462650476">
      <w:bodyDiv w:val="1"/>
      <w:marLeft w:val="0"/>
      <w:marRight w:val="0"/>
      <w:marTop w:val="0"/>
      <w:marBottom w:val="0"/>
      <w:divBdr>
        <w:top w:val="none" w:sz="0" w:space="0" w:color="auto"/>
        <w:left w:val="none" w:sz="0" w:space="0" w:color="auto"/>
        <w:bottom w:val="none" w:sz="0" w:space="0" w:color="auto"/>
        <w:right w:val="none" w:sz="0" w:space="0" w:color="auto"/>
      </w:divBdr>
    </w:div>
    <w:div w:id="464008653">
      <w:bodyDiv w:val="1"/>
      <w:marLeft w:val="0"/>
      <w:marRight w:val="0"/>
      <w:marTop w:val="0"/>
      <w:marBottom w:val="0"/>
      <w:divBdr>
        <w:top w:val="none" w:sz="0" w:space="0" w:color="auto"/>
        <w:left w:val="none" w:sz="0" w:space="0" w:color="auto"/>
        <w:bottom w:val="none" w:sz="0" w:space="0" w:color="auto"/>
        <w:right w:val="none" w:sz="0" w:space="0" w:color="auto"/>
      </w:divBdr>
    </w:div>
    <w:div w:id="488525016">
      <w:bodyDiv w:val="1"/>
      <w:marLeft w:val="0"/>
      <w:marRight w:val="0"/>
      <w:marTop w:val="0"/>
      <w:marBottom w:val="0"/>
      <w:divBdr>
        <w:top w:val="none" w:sz="0" w:space="0" w:color="auto"/>
        <w:left w:val="none" w:sz="0" w:space="0" w:color="auto"/>
        <w:bottom w:val="none" w:sz="0" w:space="0" w:color="auto"/>
        <w:right w:val="none" w:sz="0" w:space="0" w:color="auto"/>
      </w:divBdr>
    </w:div>
    <w:div w:id="497232183">
      <w:bodyDiv w:val="1"/>
      <w:marLeft w:val="0"/>
      <w:marRight w:val="0"/>
      <w:marTop w:val="0"/>
      <w:marBottom w:val="0"/>
      <w:divBdr>
        <w:top w:val="none" w:sz="0" w:space="0" w:color="auto"/>
        <w:left w:val="none" w:sz="0" w:space="0" w:color="auto"/>
        <w:bottom w:val="none" w:sz="0" w:space="0" w:color="auto"/>
        <w:right w:val="none" w:sz="0" w:space="0" w:color="auto"/>
      </w:divBdr>
    </w:div>
    <w:div w:id="515585056">
      <w:bodyDiv w:val="1"/>
      <w:marLeft w:val="0"/>
      <w:marRight w:val="0"/>
      <w:marTop w:val="0"/>
      <w:marBottom w:val="0"/>
      <w:divBdr>
        <w:top w:val="none" w:sz="0" w:space="0" w:color="auto"/>
        <w:left w:val="none" w:sz="0" w:space="0" w:color="auto"/>
        <w:bottom w:val="none" w:sz="0" w:space="0" w:color="auto"/>
        <w:right w:val="none" w:sz="0" w:space="0" w:color="auto"/>
      </w:divBdr>
    </w:div>
    <w:div w:id="519048313">
      <w:bodyDiv w:val="1"/>
      <w:marLeft w:val="0"/>
      <w:marRight w:val="0"/>
      <w:marTop w:val="0"/>
      <w:marBottom w:val="0"/>
      <w:divBdr>
        <w:top w:val="none" w:sz="0" w:space="0" w:color="auto"/>
        <w:left w:val="none" w:sz="0" w:space="0" w:color="auto"/>
        <w:bottom w:val="none" w:sz="0" w:space="0" w:color="auto"/>
        <w:right w:val="none" w:sz="0" w:space="0" w:color="auto"/>
      </w:divBdr>
    </w:div>
    <w:div w:id="519315705">
      <w:bodyDiv w:val="1"/>
      <w:marLeft w:val="0"/>
      <w:marRight w:val="0"/>
      <w:marTop w:val="0"/>
      <w:marBottom w:val="0"/>
      <w:divBdr>
        <w:top w:val="none" w:sz="0" w:space="0" w:color="auto"/>
        <w:left w:val="none" w:sz="0" w:space="0" w:color="auto"/>
        <w:bottom w:val="none" w:sz="0" w:space="0" w:color="auto"/>
        <w:right w:val="none" w:sz="0" w:space="0" w:color="auto"/>
      </w:divBdr>
    </w:div>
    <w:div w:id="536816767">
      <w:bodyDiv w:val="1"/>
      <w:marLeft w:val="0"/>
      <w:marRight w:val="0"/>
      <w:marTop w:val="0"/>
      <w:marBottom w:val="0"/>
      <w:divBdr>
        <w:top w:val="none" w:sz="0" w:space="0" w:color="auto"/>
        <w:left w:val="none" w:sz="0" w:space="0" w:color="auto"/>
        <w:bottom w:val="none" w:sz="0" w:space="0" w:color="auto"/>
        <w:right w:val="none" w:sz="0" w:space="0" w:color="auto"/>
      </w:divBdr>
    </w:div>
    <w:div w:id="538472860">
      <w:bodyDiv w:val="1"/>
      <w:marLeft w:val="0"/>
      <w:marRight w:val="0"/>
      <w:marTop w:val="0"/>
      <w:marBottom w:val="0"/>
      <w:divBdr>
        <w:top w:val="none" w:sz="0" w:space="0" w:color="auto"/>
        <w:left w:val="none" w:sz="0" w:space="0" w:color="auto"/>
        <w:bottom w:val="none" w:sz="0" w:space="0" w:color="auto"/>
        <w:right w:val="none" w:sz="0" w:space="0" w:color="auto"/>
      </w:divBdr>
    </w:div>
    <w:div w:id="539438707">
      <w:bodyDiv w:val="1"/>
      <w:marLeft w:val="0"/>
      <w:marRight w:val="0"/>
      <w:marTop w:val="0"/>
      <w:marBottom w:val="0"/>
      <w:divBdr>
        <w:top w:val="none" w:sz="0" w:space="0" w:color="auto"/>
        <w:left w:val="none" w:sz="0" w:space="0" w:color="auto"/>
        <w:bottom w:val="none" w:sz="0" w:space="0" w:color="auto"/>
        <w:right w:val="none" w:sz="0" w:space="0" w:color="auto"/>
      </w:divBdr>
    </w:div>
    <w:div w:id="545874651">
      <w:bodyDiv w:val="1"/>
      <w:marLeft w:val="0"/>
      <w:marRight w:val="0"/>
      <w:marTop w:val="0"/>
      <w:marBottom w:val="0"/>
      <w:divBdr>
        <w:top w:val="none" w:sz="0" w:space="0" w:color="auto"/>
        <w:left w:val="none" w:sz="0" w:space="0" w:color="auto"/>
        <w:bottom w:val="none" w:sz="0" w:space="0" w:color="auto"/>
        <w:right w:val="none" w:sz="0" w:space="0" w:color="auto"/>
      </w:divBdr>
    </w:div>
    <w:div w:id="548155466">
      <w:bodyDiv w:val="1"/>
      <w:marLeft w:val="0"/>
      <w:marRight w:val="0"/>
      <w:marTop w:val="0"/>
      <w:marBottom w:val="0"/>
      <w:divBdr>
        <w:top w:val="none" w:sz="0" w:space="0" w:color="auto"/>
        <w:left w:val="none" w:sz="0" w:space="0" w:color="auto"/>
        <w:bottom w:val="none" w:sz="0" w:space="0" w:color="auto"/>
        <w:right w:val="none" w:sz="0" w:space="0" w:color="auto"/>
      </w:divBdr>
    </w:div>
    <w:div w:id="572279162">
      <w:bodyDiv w:val="1"/>
      <w:marLeft w:val="0"/>
      <w:marRight w:val="0"/>
      <w:marTop w:val="0"/>
      <w:marBottom w:val="0"/>
      <w:divBdr>
        <w:top w:val="none" w:sz="0" w:space="0" w:color="auto"/>
        <w:left w:val="none" w:sz="0" w:space="0" w:color="auto"/>
        <w:bottom w:val="none" w:sz="0" w:space="0" w:color="auto"/>
        <w:right w:val="none" w:sz="0" w:space="0" w:color="auto"/>
      </w:divBdr>
    </w:div>
    <w:div w:id="581912861">
      <w:bodyDiv w:val="1"/>
      <w:marLeft w:val="0"/>
      <w:marRight w:val="0"/>
      <w:marTop w:val="0"/>
      <w:marBottom w:val="0"/>
      <w:divBdr>
        <w:top w:val="none" w:sz="0" w:space="0" w:color="auto"/>
        <w:left w:val="none" w:sz="0" w:space="0" w:color="auto"/>
        <w:bottom w:val="none" w:sz="0" w:space="0" w:color="auto"/>
        <w:right w:val="none" w:sz="0" w:space="0" w:color="auto"/>
      </w:divBdr>
    </w:div>
    <w:div w:id="587465341">
      <w:bodyDiv w:val="1"/>
      <w:marLeft w:val="0"/>
      <w:marRight w:val="0"/>
      <w:marTop w:val="0"/>
      <w:marBottom w:val="0"/>
      <w:divBdr>
        <w:top w:val="none" w:sz="0" w:space="0" w:color="auto"/>
        <w:left w:val="none" w:sz="0" w:space="0" w:color="auto"/>
        <w:bottom w:val="none" w:sz="0" w:space="0" w:color="auto"/>
        <w:right w:val="none" w:sz="0" w:space="0" w:color="auto"/>
      </w:divBdr>
    </w:div>
    <w:div w:id="591358092">
      <w:bodyDiv w:val="1"/>
      <w:marLeft w:val="0"/>
      <w:marRight w:val="0"/>
      <w:marTop w:val="0"/>
      <w:marBottom w:val="0"/>
      <w:divBdr>
        <w:top w:val="none" w:sz="0" w:space="0" w:color="auto"/>
        <w:left w:val="none" w:sz="0" w:space="0" w:color="auto"/>
        <w:bottom w:val="none" w:sz="0" w:space="0" w:color="auto"/>
        <w:right w:val="none" w:sz="0" w:space="0" w:color="auto"/>
      </w:divBdr>
    </w:div>
    <w:div w:id="595674642">
      <w:bodyDiv w:val="1"/>
      <w:marLeft w:val="0"/>
      <w:marRight w:val="0"/>
      <w:marTop w:val="0"/>
      <w:marBottom w:val="0"/>
      <w:divBdr>
        <w:top w:val="none" w:sz="0" w:space="0" w:color="auto"/>
        <w:left w:val="none" w:sz="0" w:space="0" w:color="auto"/>
        <w:bottom w:val="none" w:sz="0" w:space="0" w:color="auto"/>
        <w:right w:val="none" w:sz="0" w:space="0" w:color="auto"/>
      </w:divBdr>
    </w:div>
    <w:div w:id="614606444">
      <w:bodyDiv w:val="1"/>
      <w:marLeft w:val="0"/>
      <w:marRight w:val="0"/>
      <w:marTop w:val="0"/>
      <w:marBottom w:val="0"/>
      <w:divBdr>
        <w:top w:val="none" w:sz="0" w:space="0" w:color="auto"/>
        <w:left w:val="none" w:sz="0" w:space="0" w:color="auto"/>
        <w:bottom w:val="none" w:sz="0" w:space="0" w:color="auto"/>
        <w:right w:val="none" w:sz="0" w:space="0" w:color="auto"/>
      </w:divBdr>
    </w:div>
    <w:div w:id="616527031">
      <w:bodyDiv w:val="1"/>
      <w:marLeft w:val="0"/>
      <w:marRight w:val="0"/>
      <w:marTop w:val="0"/>
      <w:marBottom w:val="0"/>
      <w:divBdr>
        <w:top w:val="none" w:sz="0" w:space="0" w:color="auto"/>
        <w:left w:val="none" w:sz="0" w:space="0" w:color="auto"/>
        <w:bottom w:val="none" w:sz="0" w:space="0" w:color="auto"/>
        <w:right w:val="none" w:sz="0" w:space="0" w:color="auto"/>
      </w:divBdr>
    </w:div>
    <w:div w:id="663822889">
      <w:bodyDiv w:val="1"/>
      <w:marLeft w:val="0"/>
      <w:marRight w:val="0"/>
      <w:marTop w:val="0"/>
      <w:marBottom w:val="0"/>
      <w:divBdr>
        <w:top w:val="none" w:sz="0" w:space="0" w:color="auto"/>
        <w:left w:val="none" w:sz="0" w:space="0" w:color="auto"/>
        <w:bottom w:val="none" w:sz="0" w:space="0" w:color="auto"/>
        <w:right w:val="none" w:sz="0" w:space="0" w:color="auto"/>
      </w:divBdr>
    </w:div>
    <w:div w:id="682780392">
      <w:bodyDiv w:val="1"/>
      <w:marLeft w:val="0"/>
      <w:marRight w:val="0"/>
      <w:marTop w:val="0"/>
      <w:marBottom w:val="0"/>
      <w:divBdr>
        <w:top w:val="none" w:sz="0" w:space="0" w:color="auto"/>
        <w:left w:val="none" w:sz="0" w:space="0" w:color="auto"/>
        <w:bottom w:val="none" w:sz="0" w:space="0" w:color="auto"/>
        <w:right w:val="none" w:sz="0" w:space="0" w:color="auto"/>
      </w:divBdr>
    </w:div>
    <w:div w:id="697703223">
      <w:bodyDiv w:val="1"/>
      <w:marLeft w:val="0"/>
      <w:marRight w:val="0"/>
      <w:marTop w:val="0"/>
      <w:marBottom w:val="0"/>
      <w:divBdr>
        <w:top w:val="none" w:sz="0" w:space="0" w:color="auto"/>
        <w:left w:val="none" w:sz="0" w:space="0" w:color="auto"/>
        <w:bottom w:val="none" w:sz="0" w:space="0" w:color="auto"/>
        <w:right w:val="none" w:sz="0" w:space="0" w:color="auto"/>
      </w:divBdr>
    </w:div>
    <w:div w:id="701174888">
      <w:bodyDiv w:val="1"/>
      <w:marLeft w:val="0"/>
      <w:marRight w:val="0"/>
      <w:marTop w:val="0"/>
      <w:marBottom w:val="0"/>
      <w:divBdr>
        <w:top w:val="none" w:sz="0" w:space="0" w:color="auto"/>
        <w:left w:val="none" w:sz="0" w:space="0" w:color="auto"/>
        <w:bottom w:val="none" w:sz="0" w:space="0" w:color="auto"/>
        <w:right w:val="none" w:sz="0" w:space="0" w:color="auto"/>
      </w:divBdr>
    </w:div>
    <w:div w:id="712652790">
      <w:bodyDiv w:val="1"/>
      <w:marLeft w:val="0"/>
      <w:marRight w:val="0"/>
      <w:marTop w:val="0"/>
      <w:marBottom w:val="0"/>
      <w:divBdr>
        <w:top w:val="none" w:sz="0" w:space="0" w:color="auto"/>
        <w:left w:val="none" w:sz="0" w:space="0" w:color="auto"/>
        <w:bottom w:val="none" w:sz="0" w:space="0" w:color="auto"/>
        <w:right w:val="none" w:sz="0" w:space="0" w:color="auto"/>
      </w:divBdr>
    </w:div>
    <w:div w:id="733353253">
      <w:bodyDiv w:val="1"/>
      <w:marLeft w:val="0"/>
      <w:marRight w:val="0"/>
      <w:marTop w:val="0"/>
      <w:marBottom w:val="0"/>
      <w:divBdr>
        <w:top w:val="none" w:sz="0" w:space="0" w:color="auto"/>
        <w:left w:val="none" w:sz="0" w:space="0" w:color="auto"/>
        <w:bottom w:val="none" w:sz="0" w:space="0" w:color="auto"/>
        <w:right w:val="none" w:sz="0" w:space="0" w:color="auto"/>
      </w:divBdr>
    </w:div>
    <w:div w:id="775253086">
      <w:bodyDiv w:val="1"/>
      <w:marLeft w:val="0"/>
      <w:marRight w:val="0"/>
      <w:marTop w:val="0"/>
      <w:marBottom w:val="0"/>
      <w:divBdr>
        <w:top w:val="none" w:sz="0" w:space="0" w:color="auto"/>
        <w:left w:val="none" w:sz="0" w:space="0" w:color="auto"/>
        <w:bottom w:val="none" w:sz="0" w:space="0" w:color="auto"/>
        <w:right w:val="none" w:sz="0" w:space="0" w:color="auto"/>
      </w:divBdr>
    </w:div>
    <w:div w:id="777412638">
      <w:bodyDiv w:val="1"/>
      <w:marLeft w:val="0"/>
      <w:marRight w:val="0"/>
      <w:marTop w:val="0"/>
      <w:marBottom w:val="0"/>
      <w:divBdr>
        <w:top w:val="none" w:sz="0" w:space="0" w:color="auto"/>
        <w:left w:val="none" w:sz="0" w:space="0" w:color="auto"/>
        <w:bottom w:val="none" w:sz="0" w:space="0" w:color="auto"/>
        <w:right w:val="none" w:sz="0" w:space="0" w:color="auto"/>
      </w:divBdr>
    </w:div>
    <w:div w:id="779110501">
      <w:bodyDiv w:val="1"/>
      <w:marLeft w:val="0"/>
      <w:marRight w:val="0"/>
      <w:marTop w:val="0"/>
      <w:marBottom w:val="0"/>
      <w:divBdr>
        <w:top w:val="none" w:sz="0" w:space="0" w:color="auto"/>
        <w:left w:val="none" w:sz="0" w:space="0" w:color="auto"/>
        <w:bottom w:val="none" w:sz="0" w:space="0" w:color="auto"/>
        <w:right w:val="none" w:sz="0" w:space="0" w:color="auto"/>
      </w:divBdr>
    </w:div>
    <w:div w:id="785780101">
      <w:bodyDiv w:val="1"/>
      <w:marLeft w:val="0"/>
      <w:marRight w:val="0"/>
      <w:marTop w:val="0"/>
      <w:marBottom w:val="0"/>
      <w:divBdr>
        <w:top w:val="none" w:sz="0" w:space="0" w:color="auto"/>
        <w:left w:val="none" w:sz="0" w:space="0" w:color="auto"/>
        <w:bottom w:val="none" w:sz="0" w:space="0" w:color="auto"/>
        <w:right w:val="none" w:sz="0" w:space="0" w:color="auto"/>
      </w:divBdr>
    </w:div>
    <w:div w:id="790704303">
      <w:bodyDiv w:val="1"/>
      <w:marLeft w:val="0"/>
      <w:marRight w:val="0"/>
      <w:marTop w:val="0"/>
      <w:marBottom w:val="0"/>
      <w:divBdr>
        <w:top w:val="none" w:sz="0" w:space="0" w:color="auto"/>
        <w:left w:val="none" w:sz="0" w:space="0" w:color="auto"/>
        <w:bottom w:val="none" w:sz="0" w:space="0" w:color="auto"/>
        <w:right w:val="none" w:sz="0" w:space="0" w:color="auto"/>
      </w:divBdr>
    </w:div>
    <w:div w:id="797190676">
      <w:bodyDiv w:val="1"/>
      <w:marLeft w:val="0"/>
      <w:marRight w:val="0"/>
      <w:marTop w:val="0"/>
      <w:marBottom w:val="0"/>
      <w:divBdr>
        <w:top w:val="none" w:sz="0" w:space="0" w:color="auto"/>
        <w:left w:val="none" w:sz="0" w:space="0" w:color="auto"/>
        <w:bottom w:val="none" w:sz="0" w:space="0" w:color="auto"/>
        <w:right w:val="none" w:sz="0" w:space="0" w:color="auto"/>
      </w:divBdr>
    </w:div>
    <w:div w:id="803696471">
      <w:bodyDiv w:val="1"/>
      <w:marLeft w:val="0"/>
      <w:marRight w:val="0"/>
      <w:marTop w:val="0"/>
      <w:marBottom w:val="0"/>
      <w:divBdr>
        <w:top w:val="none" w:sz="0" w:space="0" w:color="auto"/>
        <w:left w:val="none" w:sz="0" w:space="0" w:color="auto"/>
        <w:bottom w:val="none" w:sz="0" w:space="0" w:color="auto"/>
        <w:right w:val="none" w:sz="0" w:space="0" w:color="auto"/>
      </w:divBdr>
    </w:div>
    <w:div w:id="812672699">
      <w:bodyDiv w:val="1"/>
      <w:marLeft w:val="0"/>
      <w:marRight w:val="0"/>
      <w:marTop w:val="0"/>
      <w:marBottom w:val="0"/>
      <w:divBdr>
        <w:top w:val="none" w:sz="0" w:space="0" w:color="auto"/>
        <w:left w:val="none" w:sz="0" w:space="0" w:color="auto"/>
        <w:bottom w:val="none" w:sz="0" w:space="0" w:color="auto"/>
        <w:right w:val="none" w:sz="0" w:space="0" w:color="auto"/>
      </w:divBdr>
    </w:div>
    <w:div w:id="826632314">
      <w:bodyDiv w:val="1"/>
      <w:marLeft w:val="0"/>
      <w:marRight w:val="0"/>
      <w:marTop w:val="0"/>
      <w:marBottom w:val="0"/>
      <w:divBdr>
        <w:top w:val="none" w:sz="0" w:space="0" w:color="auto"/>
        <w:left w:val="none" w:sz="0" w:space="0" w:color="auto"/>
        <w:bottom w:val="none" w:sz="0" w:space="0" w:color="auto"/>
        <w:right w:val="none" w:sz="0" w:space="0" w:color="auto"/>
      </w:divBdr>
    </w:div>
    <w:div w:id="829250680">
      <w:bodyDiv w:val="1"/>
      <w:marLeft w:val="0"/>
      <w:marRight w:val="0"/>
      <w:marTop w:val="0"/>
      <w:marBottom w:val="0"/>
      <w:divBdr>
        <w:top w:val="none" w:sz="0" w:space="0" w:color="auto"/>
        <w:left w:val="none" w:sz="0" w:space="0" w:color="auto"/>
        <w:bottom w:val="none" w:sz="0" w:space="0" w:color="auto"/>
        <w:right w:val="none" w:sz="0" w:space="0" w:color="auto"/>
      </w:divBdr>
    </w:div>
    <w:div w:id="834876134">
      <w:bodyDiv w:val="1"/>
      <w:marLeft w:val="0"/>
      <w:marRight w:val="0"/>
      <w:marTop w:val="0"/>
      <w:marBottom w:val="0"/>
      <w:divBdr>
        <w:top w:val="none" w:sz="0" w:space="0" w:color="auto"/>
        <w:left w:val="none" w:sz="0" w:space="0" w:color="auto"/>
        <w:bottom w:val="none" w:sz="0" w:space="0" w:color="auto"/>
        <w:right w:val="none" w:sz="0" w:space="0" w:color="auto"/>
      </w:divBdr>
    </w:div>
    <w:div w:id="838810647">
      <w:bodyDiv w:val="1"/>
      <w:marLeft w:val="0"/>
      <w:marRight w:val="0"/>
      <w:marTop w:val="0"/>
      <w:marBottom w:val="0"/>
      <w:divBdr>
        <w:top w:val="none" w:sz="0" w:space="0" w:color="auto"/>
        <w:left w:val="none" w:sz="0" w:space="0" w:color="auto"/>
        <w:bottom w:val="none" w:sz="0" w:space="0" w:color="auto"/>
        <w:right w:val="none" w:sz="0" w:space="0" w:color="auto"/>
      </w:divBdr>
    </w:div>
    <w:div w:id="855575748">
      <w:bodyDiv w:val="1"/>
      <w:marLeft w:val="0"/>
      <w:marRight w:val="0"/>
      <w:marTop w:val="0"/>
      <w:marBottom w:val="0"/>
      <w:divBdr>
        <w:top w:val="none" w:sz="0" w:space="0" w:color="auto"/>
        <w:left w:val="none" w:sz="0" w:space="0" w:color="auto"/>
        <w:bottom w:val="none" w:sz="0" w:space="0" w:color="auto"/>
        <w:right w:val="none" w:sz="0" w:space="0" w:color="auto"/>
      </w:divBdr>
    </w:div>
    <w:div w:id="859128680">
      <w:bodyDiv w:val="1"/>
      <w:marLeft w:val="0"/>
      <w:marRight w:val="0"/>
      <w:marTop w:val="0"/>
      <w:marBottom w:val="0"/>
      <w:divBdr>
        <w:top w:val="none" w:sz="0" w:space="0" w:color="auto"/>
        <w:left w:val="none" w:sz="0" w:space="0" w:color="auto"/>
        <w:bottom w:val="none" w:sz="0" w:space="0" w:color="auto"/>
        <w:right w:val="none" w:sz="0" w:space="0" w:color="auto"/>
      </w:divBdr>
    </w:div>
    <w:div w:id="862674435">
      <w:bodyDiv w:val="1"/>
      <w:marLeft w:val="0"/>
      <w:marRight w:val="0"/>
      <w:marTop w:val="0"/>
      <w:marBottom w:val="0"/>
      <w:divBdr>
        <w:top w:val="none" w:sz="0" w:space="0" w:color="auto"/>
        <w:left w:val="none" w:sz="0" w:space="0" w:color="auto"/>
        <w:bottom w:val="none" w:sz="0" w:space="0" w:color="auto"/>
        <w:right w:val="none" w:sz="0" w:space="0" w:color="auto"/>
      </w:divBdr>
    </w:div>
    <w:div w:id="863590866">
      <w:bodyDiv w:val="1"/>
      <w:marLeft w:val="0"/>
      <w:marRight w:val="0"/>
      <w:marTop w:val="0"/>
      <w:marBottom w:val="0"/>
      <w:divBdr>
        <w:top w:val="none" w:sz="0" w:space="0" w:color="auto"/>
        <w:left w:val="none" w:sz="0" w:space="0" w:color="auto"/>
        <w:bottom w:val="none" w:sz="0" w:space="0" w:color="auto"/>
        <w:right w:val="none" w:sz="0" w:space="0" w:color="auto"/>
      </w:divBdr>
    </w:div>
    <w:div w:id="882790672">
      <w:bodyDiv w:val="1"/>
      <w:marLeft w:val="0"/>
      <w:marRight w:val="0"/>
      <w:marTop w:val="0"/>
      <w:marBottom w:val="0"/>
      <w:divBdr>
        <w:top w:val="none" w:sz="0" w:space="0" w:color="auto"/>
        <w:left w:val="none" w:sz="0" w:space="0" w:color="auto"/>
        <w:bottom w:val="none" w:sz="0" w:space="0" w:color="auto"/>
        <w:right w:val="none" w:sz="0" w:space="0" w:color="auto"/>
      </w:divBdr>
    </w:div>
    <w:div w:id="900866673">
      <w:bodyDiv w:val="1"/>
      <w:marLeft w:val="0"/>
      <w:marRight w:val="0"/>
      <w:marTop w:val="0"/>
      <w:marBottom w:val="0"/>
      <w:divBdr>
        <w:top w:val="none" w:sz="0" w:space="0" w:color="auto"/>
        <w:left w:val="none" w:sz="0" w:space="0" w:color="auto"/>
        <w:bottom w:val="none" w:sz="0" w:space="0" w:color="auto"/>
        <w:right w:val="none" w:sz="0" w:space="0" w:color="auto"/>
      </w:divBdr>
    </w:div>
    <w:div w:id="921453097">
      <w:bodyDiv w:val="1"/>
      <w:marLeft w:val="0"/>
      <w:marRight w:val="0"/>
      <w:marTop w:val="0"/>
      <w:marBottom w:val="0"/>
      <w:divBdr>
        <w:top w:val="none" w:sz="0" w:space="0" w:color="auto"/>
        <w:left w:val="none" w:sz="0" w:space="0" w:color="auto"/>
        <w:bottom w:val="none" w:sz="0" w:space="0" w:color="auto"/>
        <w:right w:val="none" w:sz="0" w:space="0" w:color="auto"/>
      </w:divBdr>
    </w:div>
    <w:div w:id="928584857">
      <w:bodyDiv w:val="1"/>
      <w:marLeft w:val="0"/>
      <w:marRight w:val="0"/>
      <w:marTop w:val="0"/>
      <w:marBottom w:val="0"/>
      <w:divBdr>
        <w:top w:val="none" w:sz="0" w:space="0" w:color="auto"/>
        <w:left w:val="none" w:sz="0" w:space="0" w:color="auto"/>
        <w:bottom w:val="none" w:sz="0" w:space="0" w:color="auto"/>
        <w:right w:val="none" w:sz="0" w:space="0" w:color="auto"/>
      </w:divBdr>
    </w:div>
    <w:div w:id="937716628">
      <w:bodyDiv w:val="1"/>
      <w:marLeft w:val="0"/>
      <w:marRight w:val="0"/>
      <w:marTop w:val="0"/>
      <w:marBottom w:val="0"/>
      <w:divBdr>
        <w:top w:val="none" w:sz="0" w:space="0" w:color="auto"/>
        <w:left w:val="none" w:sz="0" w:space="0" w:color="auto"/>
        <w:bottom w:val="none" w:sz="0" w:space="0" w:color="auto"/>
        <w:right w:val="none" w:sz="0" w:space="0" w:color="auto"/>
      </w:divBdr>
    </w:div>
    <w:div w:id="952370333">
      <w:bodyDiv w:val="1"/>
      <w:marLeft w:val="0"/>
      <w:marRight w:val="0"/>
      <w:marTop w:val="0"/>
      <w:marBottom w:val="0"/>
      <w:divBdr>
        <w:top w:val="none" w:sz="0" w:space="0" w:color="auto"/>
        <w:left w:val="none" w:sz="0" w:space="0" w:color="auto"/>
        <w:bottom w:val="none" w:sz="0" w:space="0" w:color="auto"/>
        <w:right w:val="none" w:sz="0" w:space="0" w:color="auto"/>
      </w:divBdr>
    </w:div>
    <w:div w:id="952438742">
      <w:bodyDiv w:val="1"/>
      <w:marLeft w:val="0"/>
      <w:marRight w:val="0"/>
      <w:marTop w:val="0"/>
      <w:marBottom w:val="0"/>
      <w:divBdr>
        <w:top w:val="none" w:sz="0" w:space="0" w:color="auto"/>
        <w:left w:val="none" w:sz="0" w:space="0" w:color="auto"/>
        <w:bottom w:val="none" w:sz="0" w:space="0" w:color="auto"/>
        <w:right w:val="none" w:sz="0" w:space="0" w:color="auto"/>
      </w:divBdr>
    </w:div>
    <w:div w:id="953749439">
      <w:bodyDiv w:val="1"/>
      <w:marLeft w:val="0"/>
      <w:marRight w:val="0"/>
      <w:marTop w:val="0"/>
      <w:marBottom w:val="0"/>
      <w:divBdr>
        <w:top w:val="none" w:sz="0" w:space="0" w:color="auto"/>
        <w:left w:val="none" w:sz="0" w:space="0" w:color="auto"/>
        <w:bottom w:val="none" w:sz="0" w:space="0" w:color="auto"/>
        <w:right w:val="none" w:sz="0" w:space="0" w:color="auto"/>
      </w:divBdr>
    </w:div>
    <w:div w:id="964769739">
      <w:bodyDiv w:val="1"/>
      <w:marLeft w:val="0"/>
      <w:marRight w:val="0"/>
      <w:marTop w:val="0"/>
      <w:marBottom w:val="0"/>
      <w:divBdr>
        <w:top w:val="none" w:sz="0" w:space="0" w:color="auto"/>
        <w:left w:val="none" w:sz="0" w:space="0" w:color="auto"/>
        <w:bottom w:val="none" w:sz="0" w:space="0" w:color="auto"/>
        <w:right w:val="none" w:sz="0" w:space="0" w:color="auto"/>
      </w:divBdr>
    </w:div>
    <w:div w:id="968818925">
      <w:bodyDiv w:val="1"/>
      <w:marLeft w:val="0"/>
      <w:marRight w:val="0"/>
      <w:marTop w:val="0"/>
      <w:marBottom w:val="0"/>
      <w:divBdr>
        <w:top w:val="none" w:sz="0" w:space="0" w:color="auto"/>
        <w:left w:val="none" w:sz="0" w:space="0" w:color="auto"/>
        <w:bottom w:val="none" w:sz="0" w:space="0" w:color="auto"/>
        <w:right w:val="none" w:sz="0" w:space="0" w:color="auto"/>
      </w:divBdr>
    </w:div>
    <w:div w:id="972710237">
      <w:bodyDiv w:val="1"/>
      <w:marLeft w:val="0"/>
      <w:marRight w:val="0"/>
      <w:marTop w:val="0"/>
      <w:marBottom w:val="0"/>
      <w:divBdr>
        <w:top w:val="none" w:sz="0" w:space="0" w:color="auto"/>
        <w:left w:val="none" w:sz="0" w:space="0" w:color="auto"/>
        <w:bottom w:val="none" w:sz="0" w:space="0" w:color="auto"/>
        <w:right w:val="none" w:sz="0" w:space="0" w:color="auto"/>
      </w:divBdr>
    </w:div>
    <w:div w:id="982589308">
      <w:bodyDiv w:val="1"/>
      <w:marLeft w:val="0"/>
      <w:marRight w:val="0"/>
      <w:marTop w:val="0"/>
      <w:marBottom w:val="0"/>
      <w:divBdr>
        <w:top w:val="none" w:sz="0" w:space="0" w:color="auto"/>
        <w:left w:val="none" w:sz="0" w:space="0" w:color="auto"/>
        <w:bottom w:val="none" w:sz="0" w:space="0" w:color="auto"/>
        <w:right w:val="none" w:sz="0" w:space="0" w:color="auto"/>
      </w:divBdr>
    </w:div>
    <w:div w:id="989215408">
      <w:bodyDiv w:val="1"/>
      <w:marLeft w:val="0"/>
      <w:marRight w:val="0"/>
      <w:marTop w:val="0"/>
      <w:marBottom w:val="0"/>
      <w:divBdr>
        <w:top w:val="none" w:sz="0" w:space="0" w:color="auto"/>
        <w:left w:val="none" w:sz="0" w:space="0" w:color="auto"/>
        <w:bottom w:val="none" w:sz="0" w:space="0" w:color="auto"/>
        <w:right w:val="none" w:sz="0" w:space="0" w:color="auto"/>
      </w:divBdr>
    </w:div>
    <w:div w:id="990905335">
      <w:bodyDiv w:val="1"/>
      <w:marLeft w:val="0"/>
      <w:marRight w:val="0"/>
      <w:marTop w:val="0"/>
      <w:marBottom w:val="0"/>
      <w:divBdr>
        <w:top w:val="none" w:sz="0" w:space="0" w:color="auto"/>
        <w:left w:val="none" w:sz="0" w:space="0" w:color="auto"/>
        <w:bottom w:val="none" w:sz="0" w:space="0" w:color="auto"/>
        <w:right w:val="none" w:sz="0" w:space="0" w:color="auto"/>
      </w:divBdr>
    </w:div>
    <w:div w:id="1015689013">
      <w:bodyDiv w:val="1"/>
      <w:marLeft w:val="0"/>
      <w:marRight w:val="0"/>
      <w:marTop w:val="0"/>
      <w:marBottom w:val="0"/>
      <w:divBdr>
        <w:top w:val="none" w:sz="0" w:space="0" w:color="auto"/>
        <w:left w:val="none" w:sz="0" w:space="0" w:color="auto"/>
        <w:bottom w:val="none" w:sz="0" w:space="0" w:color="auto"/>
        <w:right w:val="none" w:sz="0" w:space="0" w:color="auto"/>
      </w:divBdr>
    </w:div>
    <w:div w:id="1016351149">
      <w:bodyDiv w:val="1"/>
      <w:marLeft w:val="0"/>
      <w:marRight w:val="0"/>
      <w:marTop w:val="0"/>
      <w:marBottom w:val="0"/>
      <w:divBdr>
        <w:top w:val="none" w:sz="0" w:space="0" w:color="auto"/>
        <w:left w:val="none" w:sz="0" w:space="0" w:color="auto"/>
        <w:bottom w:val="none" w:sz="0" w:space="0" w:color="auto"/>
        <w:right w:val="none" w:sz="0" w:space="0" w:color="auto"/>
      </w:divBdr>
    </w:div>
    <w:div w:id="1022786393">
      <w:bodyDiv w:val="1"/>
      <w:marLeft w:val="0"/>
      <w:marRight w:val="0"/>
      <w:marTop w:val="0"/>
      <w:marBottom w:val="0"/>
      <w:divBdr>
        <w:top w:val="none" w:sz="0" w:space="0" w:color="auto"/>
        <w:left w:val="none" w:sz="0" w:space="0" w:color="auto"/>
        <w:bottom w:val="none" w:sz="0" w:space="0" w:color="auto"/>
        <w:right w:val="none" w:sz="0" w:space="0" w:color="auto"/>
      </w:divBdr>
    </w:div>
    <w:div w:id="1025133369">
      <w:bodyDiv w:val="1"/>
      <w:marLeft w:val="0"/>
      <w:marRight w:val="0"/>
      <w:marTop w:val="0"/>
      <w:marBottom w:val="0"/>
      <w:divBdr>
        <w:top w:val="none" w:sz="0" w:space="0" w:color="auto"/>
        <w:left w:val="none" w:sz="0" w:space="0" w:color="auto"/>
        <w:bottom w:val="none" w:sz="0" w:space="0" w:color="auto"/>
        <w:right w:val="none" w:sz="0" w:space="0" w:color="auto"/>
      </w:divBdr>
    </w:div>
    <w:div w:id="1033924506">
      <w:bodyDiv w:val="1"/>
      <w:marLeft w:val="0"/>
      <w:marRight w:val="0"/>
      <w:marTop w:val="0"/>
      <w:marBottom w:val="0"/>
      <w:divBdr>
        <w:top w:val="none" w:sz="0" w:space="0" w:color="auto"/>
        <w:left w:val="none" w:sz="0" w:space="0" w:color="auto"/>
        <w:bottom w:val="none" w:sz="0" w:space="0" w:color="auto"/>
        <w:right w:val="none" w:sz="0" w:space="0" w:color="auto"/>
      </w:divBdr>
    </w:div>
    <w:div w:id="1040469899">
      <w:bodyDiv w:val="1"/>
      <w:marLeft w:val="0"/>
      <w:marRight w:val="0"/>
      <w:marTop w:val="0"/>
      <w:marBottom w:val="0"/>
      <w:divBdr>
        <w:top w:val="none" w:sz="0" w:space="0" w:color="auto"/>
        <w:left w:val="none" w:sz="0" w:space="0" w:color="auto"/>
        <w:bottom w:val="none" w:sz="0" w:space="0" w:color="auto"/>
        <w:right w:val="none" w:sz="0" w:space="0" w:color="auto"/>
      </w:divBdr>
    </w:div>
    <w:div w:id="1046493728">
      <w:bodyDiv w:val="1"/>
      <w:marLeft w:val="0"/>
      <w:marRight w:val="0"/>
      <w:marTop w:val="0"/>
      <w:marBottom w:val="0"/>
      <w:divBdr>
        <w:top w:val="none" w:sz="0" w:space="0" w:color="auto"/>
        <w:left w:val="none" w:sz="0" w:space="0" w:color="auto"/>
        <w:bottom w:val="none" w:sz="0" w:space="0" w:color="auto"/>
        <w:right w:val="none" w:sz="0" w:space="0" w:color="auto"/>
      </w:divBdr>
    </w:div>
    <w:div w:id="1059330842">
      <w:bodyDiv w:val="1"/>
      <w:marLeft w:val="0"/>
      <w:marRight w:val="0"/>
      <w:marTop w:val="0"/>
      <w:marBottom w:val="0"/>
      <w:divBdr>
        <w:top w:val="none" w:sz="0" w:space="0" w:color="auto"/>
        <w:left w:val="none" w:sz="0" w:space="0" w:color="auto"/>
        <w:bottom w:val="none" w:sz="0" w:space="0" w:color="auto"/>
        <w:right w:val="none" w:sz="0" w:space="0" w:color="auto"/>
      </w:divBdr>
    </w:div>
    <w:div w:id="1060859688">
      <w:bodyDiv w:val="1"/>
      <w:marLeft w:val="0"/>
      <w:marRight w:val="0"/>
      <w:marTop w:val="0"/>
      <w:marBottom w:val="0"/>
      <w:divBdr>
        <w:top w:val="none" w:sz="0" w:space="0" w:color="auto"/>
        <w:left w:val="none" w:sz="0" w:space="0" w:color="auto"/>
        <w:bottom w:val="none" w:sz="0" w:space="0" w:color="auto"/>
        <w:right w:val="none" w:sz="0" w:space="0" w:color="auto"/>
      </w:divBdr>
    </w:div>
    <w:div w:id="1063482865">
      <w:bodyDiv w:val="1"/>
      <w:marLeft w:val="0"/>
      <w:marRight w:val="0"/>
      <w:marTop w:val="0"/>
      <w:marBottom w:val="0"/>
      <w:divBdr>
        <w:top w:val="none" w:sz="0" w:space="0" w:color="auto"/>
        <w:left w:val="none" w:sz="0" w:space="0" w:color="auto"/>
        <w:bottom w:val="none" w:sz="0" w:space="0" w:color="auto"/>
        <w:right w:val="none" w:sz="0" w:space="0" w:color="auto"/>
      </w:divBdr>
    </w:div>
    <w:div w:id="1065223017">
      <w:bodyDiv w:val="1"/>
      <w:marLeft w:val="0"/>
      <w:marRight w:val="0"/>
      <w:marTop w:val="0"/>
      <w:marBottom w:val="0"/>
      <w:divBdr>
        <w:top w:val="none" w:sz="0" w:space="0" w:color="auto"/>
        <w:left w:val="none" w:sz="0" w:space="0" w:color="auto"/>
        <w:bottom w:val="none" w:sz="0" w:space="0" w:color="auto"/>
        <w:right w:val="none" w:sz="0" w:space="0" w:color="auto"/>
      </w:divBdr>
    </w:div>
    <w:div w:id="1078400629">
      <w:bodyDiv w:val="1"/>
      <w:marLeft w:val="0"/>
      <w:marRight w:val="0"/>
      <w:marTop w:val="0"/>
      <w:marBottom w:val="0"/>
      <w:divBdr>
        <w:top w:val="none" w:sz="0" w:space="0" w:color="auto"/>
        <w:left w:val="none" w:sz="0" w:space="0" w:color="auto"/>
        <w:bottom w:val="none" w:sz="0" w:space="0" w:color="auto"/>
        <w:right w:val="none" w:sz="0" w:space="0" w:color="auto"/>
      </w:divBdr>
    </w:div>
    <w:div w:id="1101296664">
      <w:bodyDiv w:val="1"/>
      <w:marLeft w:val="0"/>
      <w:marRight w:val="0"/>
      <w:marTop w:val="0"/>
      <w:marBottom w:val="0"/>
      <w:divBdr>
        <w:top w:val="none" w:sz="0" w:space="0" w:color="auto"/>
        <w:left w:val="none" w:sz="0" w:space="0" w:color="auto"/>
        <w:bottom w:val="none" w:sz="0" w:space="0" w:color="auto"/>
        <w:right w:val="none" w:sz="0" w:space="0" w:color="auto"/>
      </w:divBdr>
    </w:div>
    <w:div w:id="1109158508">
      <w:bodyDiv w:val="1"/>
      <w:marLeft w:val="0"/>
      <w:marRight w:val="0"/>
      <w:marTop w:val="0"/>
      <w:marBottom w:val="0"/>
      <w:divBdr>
        <w:top w:val="none" w:sz="0" w:space="0" w:color="auto"/>
        <w:left w:val="none" w:sz="0" w:space="0" w:color="auto"/>
        <w:bottom w:val="none" w:sz="0" w:space="0" w:color="auto"/>
        <w:right w:val="none" w:sz="0" w:space="0" w:color="auto"/>
      </w:divBdr>
    </w:div>
    <w:div w:id="1110514094">
      <w:bodyDiv w:val="1"/>
      <w:marLeft w:val="0"/>
      <w:marRight w:val="0"/>
      <w:marTop w:val="0"/>
      <w:marBottom w:val="0"/>
      <w:divBdr>
        <w:top w:val="none" w:sz="0" w:space="0" w:color="auto"/>
        <w:left w:val="none" w:sz="0" w:space="0" w:color="auto"/>
        <w:bottom w:val="none" w:sz="0" w:space="0" w:color="auto"/>
        <w:right w:val="none" w:sz="0" w:space="0" w:color="auto"/>
      </w:divBdr>
    </w:div>
    <w:div w:id="1117066701">
      <w:bodyDiv w:val="1"/>
      <w:marLeft w:val="0"/>
      <w:marRight w:val="0"/>
      <w:marTop w:val="0"/>
      <w:marBottom w:val="0"/>
      <w:divBdr>
        <w:top w:val="none" w:sz="0" w:space="0" w:color="auto"/>
        <w:left w:val="none" w:sz="0" w:space="0" w:color="auto"/>
        <w:bottom w:val="none" w:sz="0" w:space="0" w:color="auto"/>
        <w:right w:val="none" w:sz="0" w:space="0" w:color="auto"/>
      </w:divBdr>
    </w:div>
    <w:div w:id="1132361608">
      <w:bodyDiv w:val="1"/>
      <w:marLeft w:val="0"/>
      <w:marRight w:val="0"/>
      <w:marTop w:val="0"/>
      <w:marBottom w:val="0"/>
      <w:divBdr>
        <w:top w:val="none" w:sz="0" w:space="0" w:color="auto"/>
        <w:left w:val="none" w:sz="0" w:space="0" w:color="auto"/>
        <w:bottom w:val="none" w:sz="0" w:space="0" w:color="auto"/>
        <w:right w:val="none" w:sz="0" w:space="0" w:color="auto"/>
      </w:divBdr>
    </w:div>
    <w:div w:id="1136222183">
      <w:bodyDiv w:val="1"/>
      <w:marLeft w:val="0"/>
      <w:marRight w:val="0"/>
      <w:marTop w:val="0"/>
      <w:marBottom w:val="0"/>
      <w:divBdr>
        <w:top w:val="none" w:sz="0" w:space="0" w:color="auto"/>
        <w:left w:val="none" w:sz="0" w:space="0" w:color="auto"/>
        <w:bottom w:val="none" w:sz="0" w:space="0" w:color="auto"/>
        <w:right w:val="none" w:sz="0" w:space="0" w:color="auto"/>
      </w:divBdr>
    </w:div>
    <w:div w:id="1137264566">
      <w:bodyDiv w:val="1"/>
      <w:marLeft w:val="0"/>
      <w:marRight w:val="0"/>
      <w:marTop w:val="0"/>
      <w:marBottom w:val="0"/>
      <w:divBdr>
        <w:top w:val="none" w:sz="0" w:space="0" w:color="auto"/>
        <w:left w:val="none" w:sz="0" w:space="0" w:color="auto"/>
        <w:bottom w:val="none" w:sz="0" w:space="0" w:color="auto"/>
        <w:right w:val="none" w:sz="0" w:space="0" w:color="auto"/>
      </w:divBdr>
    </w:div>
    <w:div w:id="1165635167">
      <w:bodyDiv w:val="1"/>
      <w:marLeft w:val="0"/>
      <w:marRight w:val="0"/>
      <w:marTop w:val="0"/>
      <w:marBottom w:val="0"/>
      <w:divBdr>
        <w:top w:val="none" w:sz="0" w:space="0" w:color="auto"/>
        <w:left w:val="none" w:sz="0" w:space="0" w:color="auto"/>
        <w:bottom w:val="none" w:sz="0" w:space="0" w:color="auto"/>
        <w:right w:val="none" w:sz="0" w:space="0" w:color="auto"/>
      </w:divBdr>
    </w:div>
    <w:div w:id="1166163194">
      <w:bodyDiv w:val="1"/>
      <w:marLeft w:val="0"/>
      <w:marRight w:val="0"/>
      <w:marTop w:val="0"/>
      <w:marBottom w:val="0"/>
      <w:divBdr>
        <w:top w:val="none" w:sz="0" w:space="0" w:color="auto"/>
        <w:left w:val="none" w:sz="0" w:space="0" w:color="auto"/>
        <w:bottom w:val="none" w:sz="0" w:space="0" w:color="auto"/>
        <w:right w:val="none" w:sz="0" w:space="0" w:color="auto"/>
      </w:divBdr>
    </w:div>
    <w:div w:id="1167986746">
      <w:bodyDiv w:val="1"/>
      <w:marLeft w:val="0"/>
      <w:marRight w:val="0"/>
      <w:marTop w:val="0"/>
      <w:marBottom w:val="0"/>
      <w:divBdr>
        <w:top w:val="none" w:sz="0" w:space="0" w:color="auto"/>
        <w:left w:val="none" w:sz="0" w:space="0" w:color="auto"/>
        <w:bottom w:val="none" w:sz="0" w:space="0" w:color="auto"/>
        <w:right w:val="none" w:sz="0" w:space="0" w:color="auto"/>
      </w:divBdr>
    </w:div>
    <w:div w:id="1168596873">
      <w:bodyDiv w:val="1"/>
      <w:marLeft w:val="0"/>
      <w:marRight w:val="0"/>
      <w:marTop w:val="0"/>
      <w:marBottom w:val="0"/>
      <w:divBdr>
        <w:top w:val="none" w:sz="0" w:space="0" w:color="auto"/>
        <w:left w:val="none" w:sz="0" w:space="0" w:color="auto"/>
        <w:bottom w:val="none" w:sz="0" w:space="0" w:color="auto"/>
        <w:right w:val="none" w:sz="0" w:space="0" w:color="auto"/>
      </w:divBdr>
    </w:div>
    <w:div w:id="1169246391">
      <w:bodyDiv w:val="1"/>
      <w:marLeft w:val="0"/>
      <w:marRight w:val="0"/>
      <w:marTop w:val="0"/>
      <w:marBottom w:val="0"/>
      <w:divBdr>
        <w:top w:val="none" w:sz="0" w:space="0" w:color="auto"/>
        <w:left w:val="none" w:sz="0" w:space="0" w:color="auto"/>
        <w:bottom w:val="none" w:sz="0" w:space="0" w:color="auto"/>
        <w:right w:val="none" w:sz="0" w:space="0" w:color="auto"/>
      </w:divBdr>
    </w:div>
    <w:div w:id="1170868398">
      <w:bodyDiv w:val="1"/>
      <w:marLeft w:val="0"/>
      <w:marRight w:val="0"/>
      <w:marTop w:val="0"/>
      <w:marBottom w:val="0"/>
      <w:divBdr>
        <w:top w:val="none" w:sz="0" w:space="0" w:color="auto"/>
        <w:left w:val="none" w:sz="0" w:space="0" w:color="auto"/>
        <w:bottom w:val="none" w:sz="0" w:space="0" w:color="auto"/>
        <w:right w:val="none" w:sz="0" w:space="0" w:color="auto"/>
      </w:divBdr>
    </w:div>
    <w:div w:id="1185022464">
      <w:bodyDiv w:val="1"/>
      <w:marLeft w:val="0"/>
      <w:marRight w:val="0"/>
      <w:marTop w:val="0"/>
      <w:marBottom w:val="0"/>
      <w:divBdr>
        <w:top w:val="none" w:sz="0" w:space="0" w:color="auto"/>
        <w:left w:val="none" w:sz="0" w:space="0" w:color="auto"/>
        <w:bottom w:val="none" w:sz="0" w:space="0" w:color="auto"/>
        <w:right w:val="none" w:sz="0" w:space="0" w:color="auto"/>
      </w:divBdr>
    </w:div>
    <w:div w:id="1187400949">
      <w:bodyDiv w:val="1"/>
      <w:marLeft w:val="0"/>
      <w:marRight w:val="0"/>
      <w:marTop w:val="0"/>
      <w:marBottom w:val="0"/>
      <w:divBdr>
        <w:top w:val="none" w:sz="0" w:space="0" w:color="auto"/>
        <w:left w:val="none" w:sz="0" w:space="0" w:color="auto"/>
        <w:bottom w:val="none" w:sz="0" w:space="0" w:color="auto"/>
        <w:right w:val="none" w:sz="0" w:space="0" w:color="auto"/>
      </w:divBdr>
    </w:div>
    <w:div w:id="1187866077">
      <w:bodyDiv w:val="1"/>
      <w:marLeft w:val="0"/>
      <w:marRight w:val="0"/>
      <w:marTop w:val="0"/>
      <w:marBottom w:val="0"/>
      <w:divBdr>
        <w:top w:val="none" w:sz="0" w:space="0" w:color="auto"/>
        <w:left w:val="none" w:sz="0" w:space="0" w:color="auto"/>
        <w:bottom w:val="none" w:sz="0" w:space="0" w:color="auto"/>
        <w:right w:val="none" w:sz="0" w:space="0" w:color="auto"/>
      </w:divBdr>
    </w:div>
    <w:div w:id="1198392598">
      <w:bodyDiv w:val="1"/>
      <w:marLeft w:val="0"/>
      <w:marRight w:val="0"/>
      <w:marTop w:val="0"/>
      <w:marBottom w:val="0"/>
      <w:divBdr>
        <w:top w:val="none" w:sz="0" w:space="0" w:color="auto"/>
        <w:left w:val="none" w:sz="0" w:space="0" w:color="auto"/>
        <w:bottom w:val="none" w:sz="0" w:space="0" w:color="auto"/>
        <w:right w:val="none" w:sz="0" w:space="0" w:color="auto"/>
      </w:divBdr>
    </w:div>
    <w:div w:id="1199510608">
      <w:bodyDiv w:val="1"/>
      <w:marLeft w:val="0"/>
      <w:marRight w:val="0"/>
      <w:marTop w:val="0"/>
      <w:marBottom w:val="0"/>
      <w:divBdr>
        <w:top w:val="none" w:sz="0" w:space="0" w:color="auto"/>
        <w:left w:val="none" w:sz="0" w:space="0" w:color="auto"/>
        <w:bottom w:val="none" w:sz="0" w:space="0" w:color="auto"/>
        <w:right w:val="none" w:sz="0" w:space="0" w:color="auto"/>
      </w:divBdr>
    </w:div>
    <w:div w:id="1210873828">
      <w:bodyDiv w:val="1"/>
      <w:marLeft w:val="0"/>
      <w:marRight w:val="0"/>
      <w:marTop w:val="0"/>
      <w:marBottom w:val="0"/>
      <w:divBdr>
        <w:top w:val="none" w:sz="0" w:space="0" w:color="auto"/>
        <w:left w:val="none" w:sz="0" w:space="0" w:color="auto"/>
        <w:bottom w:val="none" w:sz="0" w:space="0" w:color="auto"/>
        <w:right w:val="none" w:sz="0" w:space="0" w:color="auto"/>
      </w:divBdr>
    </w:div>
    <w:div w:id="1230267702">
      <w:bodyDiv w:val="1"/>
      <w:marLeft w:val="0"/>
      <w:marRight w:val="0"/>
      <w:marTop w:val="0"/>
      <w:marBottom w:val="0"/>
      <w:divBdr>
        <w:top w:val="none" w:sz="0" w:space="0" w:color="auto"/>
        <w:left w:val="none" w:sz="0" w:space="0" w:color="auto"/>
        <w:bottom w:val="none" w:sz="0" w:space="0" w:color="auto"/>
        <w:right w:val="none" w:sz="0" w:space="0" w:color="auto"/>
      </w:divBdr>
    </w:div>
    <w:div w:id="1244148722">
      <w:bodyDiv w:val="1"/>
      <w:marLeft w:val="0"/>
      <w:marRight w:val="0"/>
      <w:marTop w:val="0"/>
      <w:marBottom w:val="0"/>
      <w:divBdr>
        <w:top w:val="none" w:sz="0" w:space="0" w:color="auto"/>
        <w:left w:val="none" w:sz="0" w:space="0" w:color="auto"/>
        <w:bottom w:val="none" w:sz="0" w:space="0" w:color="auto"/>
        <w:right w:val="none" w:sz="0" w:space="0" w:color="auto"/>
      </w:divBdr>
    </w:div>
    <w:div w:id="1256210814">
      <w:bodyDiv w:val="1"/>
      <w:marLeft w:val="0"/>
      <w:marRight w:val="0"/>
      <w:marTop w:val="0"/>
      <w:marBottom w:val="0"/>
      <w:divBdr>
        <w:top w:val="none" w:sz="0" w:space="0" w:color="auto"/>
        <w:left w:val="none" w:sz="0" w:space="0" w:color="auto"/>
        <w:bottom w:val="none" w:sz="0" w:space="0" w:color="auto"/>
        <w:right w:val="none" w:sz="0" w:space="0" w:color="auto"/>
      </w:divBdr>
    </w:div>
    <w:div w:id="1265721986">
      <w:bodyDiv w:val="1"/>
      <w:marLeft w:val="0"/>
      <w:marRight w:val="0"/>
      <w:marTop w:val="0"/>
      <w:marBottom w:val="0"/>
      <w:divBdr>
        <w:top w:val="none" w:sz="0" w:space="0" w:color="auto"/>
        <w:left w:val="none" w:sz="0" w:space="0" w:color="auto"/>
        <w:bottom w:val="none" w:sz="0" w:space="0" w:color="auto"/>
        <w:right w:val="none" w:sz="0" w:space="0" w:color="auto"/>
      </w:divBdr>
    </w:div>
    <w:div w:id="1280599750">
      <w:bodyDiv w:val="1"/>
      <w:marLeft w:val="0"/>
      <w:marRight w:val="0"/>
      <w:marTop w:val="0"/>
      <w:marBottom w:val="0"/>
      <w:divBdr>
        <w:top w:val="none" w:sz="0" w:space="0" w:color="auto"/>
        <w:left w:val="none" w:sz="0" w:space="0" w:color="auto"/>
        <w:bottom w:val="none" w:sz="0" w:space="0" w:color="auto"/>
        <w:right w:val="none" w:sz="0" w:space="0" w:color="auto"/>
      </w:divBdr>
    </w:div>
    <w:div w:id="1282103239">
      <w:bodyDiv w:val="1"/>
      <w:marLeft w:val="0"/>
      <w:marRight w:val="0"/>
      <w:marTop w:val="0"/>
      <w:marBottom w:val="0"/>
      <w:divBdr>
        <w:top w:val="none" w:sz="0" w:space="0" w:color="auto"/>
        <w:left w:val="none" w:sz="0" w:space="0" w:color="auto"/>
        <w:bottom w:val="none" w:sz="0" w:space="0" w:color="auto"/>
        <w:right w:val="none" w:sz="0" w:space="0" w:color="auto"/>
      </w:divBdr>
    </w:div>
    <w:div w:id="1312177217">
      <w:bodyDiv w:val="1"/>
      <w:marLeft w:val="0"/>
      <w:marRight w:val="0"/>
      <w:marTop w:val="0"/>
      <w:marBottom w:val="0"/>
      <w:divBdr>
        <w:top w:val="none" w:sz="0" w:space="0" w:color="auto"/>
        <w:left w:val="none" w:sz="0" w:space="0" w:color="auto"/>
        <w:bottom w:val="none" w:sz="0" w:space="0" w:color="auto"/>
        <w:right w:val="none" w:sz="0" w:space="0" w:color="auto"/>
      </w:divBdr>
    </w:div>
    <w:div w:id="1322151374">
      <w:bodyDiv w:val="1"/>
      <w:marLeft w:val="0"/>
      <w:marRight w:val="0"/>
      <w:marTop w:val="0"/>
      <w:marBottom w:val="0"/>
      <w:divBdr>
        <w:top w:val="none" w:sz="0" w:space="0" w:color="auto"/>
        <w:left w:val="none" w:sz="0" w:space="0" w:color="auto"/>
        <w:bottom w:val="none" w:sz="0" w:space="0" w:color="auto"/>
        <w:right w:val="none" w:sz="0" w:space="0" w:color="auto"/>
      </w:divBdr>
    </w:div>
    <w:div w:id="1325475806">
      <w:bodyDiv w:val="1"/>
      <w:marLeft w:val="0"/>
      <w:marRight w:val="0"/>
      <w:marTop w:val="0"/>
      <w:marBottom w:val="0"/>
      <w:divBdr>
        <w:top w:val="none" w:sz="0" w:space="0" w:color="auto"/>
        <w:left w:val="none" w:sz="0" w:space="0" w:color="auto"/>
        <w:bottom w:val="none" w:sz="0" w:space="0" w:color="auto"/>
        <w:right w:val="none" w:sz="0" w:space="0" w:color="auto"/>
      </w:divBdr>
    </w:div>
    <w:div w:id="1329018844">
      <w:bodyDiv w:val="1"/>
      <w:marLeft w:val="0"/>
      <w:marRight w:val="0"/>
      <w:marTop w:val="0"/>
      <w:marBottom w:val="0"/>
      <w:divBdr>
        <w:top w:val="none" w:sz="0" w:space="0" w:color="auto"/>
        <w:left w:val="none" w:sz="0" w:space="0" w:color="auto"/>
        <w:bottom w:val="none" w:sz="0" w:space="0" w:color="auto"/>
        <w:right w:val="none" w:sz="0" w:space="0" w:color="auto"/>
      </w:divBdr>
    </w:div>
    <w:div w:id="1331835106">
      <w:bodyDiv w:val="1"/>
      <w:marLeft w:val="0"/>
      <w:marRight w:val="0"/>
      <w:marTop w:val="0"/>
      <w:marBottom w:val="0"/>
      <w:divBdr>
        <w:top w:val="none" w:sz="0" w:space="0" w:color="auto"/>
        <w:left w:val="none" w:sz="0" w:space="0" w:color="auto"/>
        <w:bottom w:val="none" w:sz="0" w:space="0" w:color="auto"/>
        <w:right w:val="none" w:sz="0" w:space="0" w:color="auto"/>
      </w:divBdr>
    </w:div>
    <w:div w:id="1334525906">
      <w:bodyDiv w:val="1"/>
      <w:marLeft w:val="0"/>
      <w:marRight w:val="0"/>
      <w:marTop w:val="0"/>
      <w:marBottom w:val="0"/>
      <w:divBdr>
        <w:top w:val="none" w:sz="0" w:space="0" w:color="auto"/>
        <w:left w:val="none" w:sz="0" w:space="0" w:color="auto"/>
        <w:bottom w:val="none" w:sz="0" w:space="0" w:color="auto"/>
        <w:right w:val="none" w:sz="0" w:space="0" w:color="auto"/>
      </w:divBdr>
    </w:div>
    <w:div w:id="1341197412">
      <w:bodyDiv w:val="1"/>
      <w:marLeft w:val="0"/>
      <w:marRight w:val="0"/>
      <w:marTop w:val="0"/>
      <w:marBottom w:val="0"/>
      <w:divBdr>
        <w:top w:val="none" w:sz="0" w:space="0" w:color="auto"/>
        <w:left w:val="none" w:sz="0" w:space="0" w:color="auto"/>
        <w:bottom w:val="none" w:sz="0" w:space="0" w:color="auto"/>
        <w:right w:val="none" w:sz="0" w:space="0" w:color="auto"/>
      </w:divBdr>
    </w:div>
    <w:div w:id="1342778042">
      <w:bodyDiv w:val="1"/>
      <w:marLeft w:val="0"/>
      <w:marRight w:val="0"/>
      <w:marTop w:val="0"/>
      <w:marBottom w:val="0"/>
      <w:divBdr>
        <w:top w:val="none" w:sz="0" w:space="0" w:color="auto"/>
        <w:left w:val="none" w:sz="0" w:space="0" w:color="auto"/>
        <w:bottom w:val="none" w:sz="0" w:space="0" w:color="auto"/>
        <w:right w:val="none" w:sz="0" w:space="0" w:color="auto"/>
      </w:divBdr>
    </w:div>
    <w:div w:id="1360354488">
      <w:bodyDiv w:val="1"/>
      <w:marLeft w:val="0"/>
      <w:marRight w:val="0"/>
      <w:marTop w:val="0"/>
      <w:marBottom w:val="0"/>
      <w:divBdr>
        <w:top w:val="none" w:sz="0" w:space="0" w:color="auto"/>
        <w:left w:val="none" w:sz="0" w:space="0" w:color="auto"/>
        <w:bottom w:val="none" w:sz="0" w:space="0" w:color="auto"/>
        <w:right w:val="none" w:sz="0" w:space="0" w:color="auto"/>
      </w:divBdr>
    </w:div>
    <w:div w:id="1371687197">
      <w:bodyDiv w:val="1"/>
      <w:marLeft w:val="0"/>
      <w:marRight w:val="0"/>
      <w:marTop w:val="0"/>
      <w:marBottom w:val="0"/>
      <w:divBdr>
        <w:top w:val="none" w:sz="0" w:space="0" w:color="auto"/>
        <w:left w:val="none" w:sz="0" w:space="0" w:color="auto"/>
        <w:bottom w:val="none" w:sz="0" w:space="0" w:color="auto"/>
        <w:right w:val="none" w:sz="0" w:space="0" w:color="auto"/>
      </w:divBdr>
    </w:div>
    <w:div w:id="1381636824">
      <w:bodyDiv w:val="1"/>
      <w:marLeft w:val="0"/>
      <w:marRight w:val="0"/>
      <w:marTop w:val="0"/>
      <w:marBottom w:val="0"/>
      <w:divBdr>
        <w:top w:val="none" w:sz="0" w:space="0" w:color="auto"/>
        <w:left w:val="none" w:sz="0" w:space="0" w:color="auto"/>
        <w:bottom w:val="none" w:sz="0" w:space="0" w:color="auto"/>
        <w:right w:val="none" w:sz="0" w:space="0" w:color="auto"/>
      </w:divBdr>
    </w:div>
    <w:div w:id="1417629948">
      <w:bodyDiv w:val="1"/>
      <w:marLeft w:val="0"/>
      <w:marRight w:val="0"/>
      <w:marTop w:val="0"/>
      <w:marBottom w:val="0"/>
      <w:divBdr>
        <w:top w:val="none" w:sz="0" w:space="0" w:color="auto"/>
        <w:left w:val="none" w:sz="0" w:space="0" w:color="auto"/>
        <w:bottom w:val="none" w:sz="0" w:space="0" w:color="auto"/>
        <w:right w:val="none" w:sz="0" w:space="0" w:color="auto"/>
      </w:divBdr>
    </w:div>
    <w:div w:id="1422338784">
      <w:bodyDiv w:val="1"/>
      <w:marLeft w:val="0"/>
      <w:marRight w:val="0"/>
      <w:marTop w:val="0"/>
      <w:marBottom w:val="0"/>
      <w:divBdr>
        <w:top w:val="none" w:sz="0" w:space="0" w:color="auto"/>
        <w:left w:val="none" w:sz="0" w:space="0" w:color="auto"/>
        <w:bottom w:val="none" w:sz="0" w:space="0" w:color="auto"/>
        <w:right w:val="none" w:sz="0" w:space="0" w:color="auto"/>
      </w:divBdr>
    </w:div>
    <w:div w:id="1424911665">
      <w:bodyDiv w:val="1"/>
      <w:marLeft w:val="0"/>
      <w:marRight w:val="0"/>
      <w:marTop w:val="0"/>
      <w:marBottom w:val="0"/>
      <w:divBdr>
        <w:top w:val="none" w:sz="0" w:space="0" w:color="auto"/>
        <w:left w:val="none" w:sz="0" w:space="0" w:color="auto"/>
        <w:bottom w:val="none" w:sz="0" w:space="0" w:color="auto"/>
        <w:right w:val="none" w:sz="0" w:space="0" w:color="auto"/>
      </w:divBdr>
    </w:div>
    <w:div w:id="1433817579">
      <w:bodyDiv w:val="1"/>
      <w:marLeft w:val="0"/>
      <w:marRight w:val="0"/>
      <w:marTop w:val="0"/>
      <w:marBottom w:val="0"/>
      <w:divBdr>
        <w:top w:val="none" w:sz="0" w:space="0" w:color="auto"/>
        <w:left w:val="none" w:sz="0" w:space="0" w:color="auto"/>
        <w:bottom w:val="none" w:sz="0" w:space="0" w:color="auto"/>
        <w:right w:val="none" w:sz="0" w:space="0" w:color="auto"/>
      </w:divBdr>
    </w:div>
    <w:div w:id="1435519182">
      <w:bodyDiv w:val="1"/>
      <w:marLeft w:val="0"/>
      <w:marRight w:val="0"/>
      <w:marTop w:val="0"/>
      <w:marBottom w:val="0"/>
      <w:divBdr>
        <w:top w:val="none" w:sz="0" w:space="0" w:color="auto"/>
        <w:left w:val="none" w:sz="0" w:space="0" w:color="auto"/>
        <w:bottom w:val="none" w:sz="0" w:space="0" w:color="auto"/>
        <w:right w:val="none" w:sz="0" w:space="0" w:color="auto"/>
      </w:divBdr>
    </w:div>
    <w:div w:id="1442411218">
      <w:bodyDiv w:val="1"/>
      <w:marLeft w:val="0"/>
      <w:marRight w:val="0"/>
      <w:marTop w:val="0"/>
      <w:marBottom w:val="0"/>
      <w:divBdr>
        <w:top w:val="none" w:sz="0" w:space="0" w:color="auto"/>
        <w:left w:val="none" w:sz="0" w:space="0" w:color="auto"/>
        <w:bottom w:val="none" w:sz="0" w:space="0" w:color="auto"/>
        <w:right w:val="none" w:sz="0" w:space="0" w:color="auto"/>
      </w:divBdr>
    </w:div>
    <w:div w:id="1458064082">
      <w:bodyDiv w:val="1"/>
      <w:marLeft w:val="0"/>
      <w:marRight w:val="0"/>
      <w:marTop w:val="0"/>
      <w:marBottom w:val="0"/>
      <w:divBdr>
        <w:top w:val="none" w:sz="0" w:space="0" w:color="auto"/>
        <w:left w:val="none" w:sz="0" w:space="0" w:color="auto"/>
        <w:bottom w:val="none" w:sz="0" w:space="0" w:color="auto"/>
        <w:right w:val="none" w:sz="0" w:space="0" w:color="auto"/>
      </w:divBdr>
    </w:div>
    <w:div w:id="1458336240">
      <w:bodyDiv w:val="1"/>
      <w:marLeft w:val="0"/>
      <w:marRight w:val="0"/>
      <w:marTop w:val="0"/>
      <w:marBottom w:val="0"/>
      <w:divBdr>
        <w:top w:val="none" w:sz="0" w:space="0" w:color="auto"/>
        <w:left w:val="none" w:sz="0" w:space="0" w:color="auto"/>
        <w:bottom w:val="none" w:sz="0" w:space="0" w:color="auto"/>
        <w:right w:val="none" w:sz="0" w:space="0" w:color="auto"/>
      </w:divBdr>
    </w:div>
    <w:div w:id="1466268616">
      <w:bodyDiv w:val="1"/>
      <w:marLeft w:val="0"/>
      <w:marRight w:val="0"/>
      <w:marTop w:val="0"/>
      <w:marBottom w:val="0"/>
      <w:divBdr>
        <w:top w:val="none" w:sz="0" w:space="0" w:color="auto"/>
        <w:left w:val="none" w:sz="0" w:space="0" w:color="auto"/>
        <w:bottom w:val="none" w:sz="0" w:space="0" w:color="auto"/>
        <w:right w:val="none" w:sz="0" w:space="0" w:color="auto"/>
      </w:divBdr>
    </w:div>
    <w:div w:id="1471091104">
      <w:bodyDiv w:val="1"/>
      <w:marLeft w:val="0"/>
      <w:marRight w:val="0"/>
      <w:marTop w:val="0"/>
      <w:marBottom w:val="0"/>
      <w:divBdr>
        <w:top w:val="none" w:sz="0" w:space="0" w:color="auto"/>
        <w:left w:val="none" w:sz="0" w:space="0" w:color="auto"/>
        <w:bottom w:val="none" w:sz="0" w:space="0" w:color="auto"/>
        <w:right w:val="none" w:sz="0" w:space="0" w:color="auto"/>
      </w:divBdr>
    </w:div>
    <w:div w:id="1475180906">
      <w:bodyDiv w:val="1"/>
      <w:marLeft w:val="0"/>
      <w:marRight w:val="0"/>
      <w:marTop w:val="0"/>
      <w:marBottom w:val="0"/>
      <w:divBdr>
        <w:top w:val="none" w:sz="0" w:space="0" w:color="auto"/>
        <w:left w:val="none" w:sz="0" w:space="0" w:color="auto"/>
        <w:bottom w:val="none" w:sz="0" w:space="0" w:color="auto"/>
        <w:right w:val="none" w:sz="0" w:space="0" w:color="auto"/>
      </w:divBdr>
    </w:div>
    <w:div w:id="1480344529">
      <w:bodyDiv w:val="1"/>
      <w:marLeft w:val="0"/>
      <w:marRight w:val="0"/>
      <w:marTop w:val="0"/>
      <w:marBottom w:val="0"/>
      <w:divBdr>
        <w:top w:val="none" w:sz="0" w:space="0" w:color="auto"/>
        <w:left w:val="none" w:sz="0" w:space="0" w:color="auto"/>
        <w:bottom w:val="none" w:sz="0" w:space="0" w:color="auto"/>
        <w:right w:val="none" w:sz="0" w:space="0" w:color="auto"/>
      </w:divBdr>
    </w:div>
    <w:div w:id="1491024998">
      <w:bodyDiv w:val="1"/>
      <w:marLeft w:val="0"/>
      <w:marRight w:val="0"/>
      <w:marTop w:val="0"/>
      <w:marBottom w:val="0"/>
      <w:divBdr>
        <w:top w:val="none" w:sz="0" w:space="0" w:color="auto"/>
        <w:left w:val="none" w:sz="0" w:space="0" w:color="auto"/>
        <w:bottom w:val="none" w:sz="0" w:space="0" w:color="auto"/>
        <w:right w:val="none" w:sz="0" w:space="0" w:color="auto"/>
      </w:divBdr>
    </w:div>
    <w:div w:id="1492671065">
      <w:bodyDiv w:val="1"/>
      <w:marLeft w:val="0"/>
      <w:marRight w:val="0"/>
      <w:marTop w:val="0"/>
      <w:marBottom w:val="0"/>
      <w:divBdr>
        <w:top w:val="none" w:sz="0" w:space="0" w:color="auto"/>
        <w:left w:val="none" w:sz="0" w:space="0" w:color="auto"/>
        <w:bottom w:val="none" w:sz="0" w:space="0" w:color="auto"/>
        <w:right w:val="none" w:sz="0" w:space="0" w:color="auto"/>
      </w:divBdr>
    </w:div>
    <w:div w:id="1499149403">
      <w:bodyDiv w:val="1"/>
      <w:marLeft w:val="0"/>
      <w:marRight w:val="0"/>
      <w:marTop w:val="0"/>
      <w:marBottom w:val="0"/>
      <w:divBdr>
        <w:top w:val="none" w:sz="0" w:space="0" w:color="auto"/>
        <w:left w:val="none" w:sz="0" w:space="0" w:color="auto"/>
        <w:bottom w:val="none" w:sz="0" w:space="0" w:color="auto"/>
        <w:right w:val="none" w:sz="0" w:space="0" w:color="auto"/>
      </w:divBdr>
    </w:div>
    <w:div w:id="1507088925">
      <w:bodyDiv w:val="1"/>
      <w:marLeft w:val="0"/>
      <w:marRight w:val="0"/>
      <w:marTop w:val="0"/>
      <w:marBottom w:val="0"/>
      <w:divBdr>
        <w:top w:val="none" w:sz="0" w:space="0" w:color="auto"/>
        <w:left w:val="none" w:sz="0" w:space="0" w:color="auto"/>
        <w:bottom w:val="none" w:sz="0" w:space="0" w:color="auto"/>
        <w:right w:val="none" w:sz="0" w:space="0" w:color="auto"/>
      </w:divBdr>
    </w:div>
    <w:div w:id="1511868838">
      <w:bodyDiv w:val="1"/>
      <w:marLeft w:val="0"/>
      <w:marRight w:val="0"/>
      <w:marTop w:val="0"/>
      <w:marBottom w:val="0"/>
      <w:divBdr>
        <w:top w:val="none" w:sz="0" w:space="0" w:color="auto"/>
        <w:left w:val="none" w:sz="0" w:space="0" w:color="auto"/>
        <w:bottom w:val="none" w:sz="0" w:space="0" w:color="auto"/>
        <w:right w:val="none" w:sz="0" w:space="0" w:color="auto"/>
      </w:divBdr>
    </w:div>
    <w:div w:id="1516069761">
      <w:bodyDiv w:val="1"/>
      <w:marLeft w:val="0"/>
      <w:marRight w:val="0"/>
      <w:marTop w:val="0"/>
      <w:marBottom w:val="0"/>
      <w:divBdr>
        <w:top w:val="none" w:sz="0" w:space="0" w:color="auto"/>
        <w:left w:val="none" w:sz="0" w:space="0" w:color="auto"/>
        <w:bottom w:val="none" w:sz="0" w:space="0" w:color="auto"/>
        <w:right w:val="none" w:sz="0" w:space="0" w:color="auto"/>
      </w:divBdr>
    </w:div>
    <w:div w:id="1525092160">
      <w:bodyDiv w:val="1"/>
      <w:marLeft w:val="0"/>
      <w:marRight w:val="0"/>
      <w:marTop w:val="0"/>
      <w:marBottom w:val="0"/>
      <w:divBdr>
        <w:top w:val="none" w:sz="0" w:space="0" w:color="auto"/>
        <w:left w:val="none" w:sz="0" w:space="0" w:color="auto"/>
        <w:bottom w:val="none" w:sz="0" w:space="0" w:color="auto"/>
        <w:right w:val="none" w:sz="0" w:space="0" w:color="auto"/>
      </w:divBdr>
    </w:div>
    <w:div w:id="1573467300">
      <w:bodyDiv w:val="1"/>
      <w:marLeft w:val="0"/>
      <w:marRight w:val="0"/>
      <w:marTop w:val="0"/>
      <w:marBottom w:val="0"/>
      <w:divBdr>
        <w:top w:val="none" w:sz="0" w:space="0" w:color="auto"/>
        <w:left w:val="none" w:sz="0" w:space="0" w:color="auto"/>
        <w:bottom w:val="none" w:sz="0" w:space="0" w:color="auto"/>
        <w:right w:val="none" w:sz="0" w:space="0" w:color="auto"/>
      </w:divBdr>
    </w:div>
    <w:div w:id="1593004401">
      <w:bodyDiv w:val="1"/>
      <w:marLeft w:val="0"/>
      <w:marRight w:val="0"/>
      <w:marTop w:val="0"/>
      <w:marBottom w:val="0"/>
      <w:divBdr>
        <w:top w:val="none" w:sz="0" w:space="0" w:color="auto"/>
        <w:left w:val="none" w:sz="0" w:space="0" w:color="auto"/>
        <w:bottom w:val="none" w:sz="0" w:space="0" w:color="auto"/>
        <w:right w:val="none" w:sz="0" w:space="0" w:color="auto"/>
      </w:divBdr>
    </w:div>
    <w:div w:id="1610352023">
      <w:bodyDiv w:val="1"/>
      <w:marLeft w:val="0"/>
      <w:marRight w:val="0"/>
      <w:marTop w:val="0"/>
      <w:marBottom w:val="0"/>
      <w:divBdr>
        <w:top w:val="none" w:sz="0" w:space="0" w:color="auto"/>
        <w:left w:val="none" w:sz="0" w:space="0" w:color="auto"/>
        <w:bottom w:val="none" w:sz="0" w:space="0" w:color="auto"/>
        <w:right w:val="none" w:sz="0" w:space="0" w:color="auto"/>
      </w:divBdr>
    </w:div>
    <w:div w:id="1619099619">
      <w:bodyDiv w:val="1"/>
      <w:marLeft w:val="0"/>
      <w:marRight w:val="0"/>
      <w:marTop w:val="0"/>
      <w:marBottom w:val="0"/>
      <w:divBdr>
        <w:top w:val="none" w:sz="0" w:space="0" w:color="auto"/>
        <w:left w:val="none" w:sz="0" w:space="0" w:color="auto"/>
        <w:bottom w:val="none" w:sz="0" w:space="0" w:color="auto"/>
        <w:right w:val="none" w:sz="0" w:space="0" w:color="auto"/>
      </w:divBdr>
    </w:div>
    <w:div w:id="1626039000">
      <w:bodyDiv w:val="1"/>
      <w:marLeft w:val="0"/>
      <w:marRight w:val="0"/>
      <w:marTop w:val="0"/>
      <w:marBottom w:val="0"/>
      <w:divBdr>
        <w:top w:val="none" w:sz="0" w:space="0" w:color="auto"/>
        <w:left w:val="none" w:sz="0" w:space="0" w:color="auto"/>
        <w:bottom w:val="none" w:sz="0" w:space="0" w:color="auto"/>
        <w:right w:val="none" w:sz="0" w:space="0" w:color="auto"/>
      </w:divBdr>
    </w:div>
    <w:div w:id="1637367866">
      <w:bodyDiv w:val="1"/>
      <w:marLeft w:val="0"/>
      <w:marRight w:val="0"/>
      <w:marTop w:val="0"/>
      <w:marBottom w:val="0"/>
      <w:divBdr>
        <w:top w:val="none" w:sz="0" w:space="0" w:color="auto"/>
        <w:left w:val="none" w:sz="0" w:space="0" w:color="auto"/>
        <w:bottom w:val="none" w:sz="0" w:space="0" w:color="auto"/>
        <w:right w:val="none" w:sz="0" w:space="0" w:color="auto"/>
      </w:divBdr>
    </w:div>
    <w:div w:id="1645501781">
      <w:bodyDiv w:val="1"/>
      <w:marLeft w:val="0"/>
      <w:marRight w:val="0"/>
      <w:marTop w:val="0"/>
      <w:marBottom w:val="0"/>
      <w:divBdr>
        <w:top w:val="none" w:sz="0" w:space="0" w:color="auto"/>
        <w:left w:val="none" w:sz="0" w:space="0" w:color="auto"/>
        <w:bottom w:val="none" w:sz="0" w:space="0" w:color="auto"/>
        <w:right w:val="none" w:sz="0" w:space="0" w:color="auto"/>
      </w:divBdr>
    </w:div>
    <w:div w:id="1671523232">
      <w:bodyDiv w:val="1"/>
      <w:marLeft w:val="0"/>
      <w:marRight w:val="0"/>
      <w:marTop w:val="0"/>
      <w:marBottom w:val="0"/>
      <w:divBdr>
        <w:top w:val="none" w:sz="0" w:space="0" w:color="auto"/>
        <w:left w:val="none" w:sz="0" w:space="0" w:color="auto"/>
        <w:bottom w:val="none" w:sz="0" w:space="0" w:color="auto"/>
        <w:right w:val="none" w:sz="0" w:space="0" w:color="auto"/>
      </w:divBdr>
    </w:div>
    <w:div w:id="1687637061">
      <w:bodyDiv w:val="1"/>
      <w:marLeft w:val="0"/>
      <w:marRight w:val="0"/>
      <w:marTop w:val="0"/>
      <w:marBottom w:val="0"/>
      <w:divBdr>
        <w:top w:val="none" w:sz="0" w:space="0" w:color="auto"/>
        <w:left w:val="none" w:sz="0" w:space="0" w:color="auto"/>
        <w:bottom w:val="none" w:sz="0" w:space="0" w:color="auto"/>
        <w:right w:val="none" w:sz="0" w:space="0" w:color="auto"/>
      </w:divBdr>
    </w:div>
    <w:div w:id="1693142023">
      <w:bodyDiv w:val="1"/>
      <w:marLeft w:val="0"/>
      <w:marRight w:val="0"/>
      <w:marTop w:val="0"/>
      <w:marBottom w:val="0"/>
      <w:divBdr>
        <w:top w:val="none" w:sz="0" w:space="0" w:color="auto"/>
        <w:left w:val="none" w:sz="0" w:space="0" w:color="auto"/>
        <w:bottom w:val="none" w:sz="0" w:space="0" w:color="auto"/>
        <w:right w:val="none" w:sz="0" w:space="0" w:color="auto"/>
      </w:divBdr>
    </w:div>
    <w:div w:id="1694260103">
      <w:bodyDiv w:val="1"/>
      <w:marLeft w:val="0"/>
      <w:marRight w:val="0"/>
      <w:marTop w:val="0"/>
      <w:marBottom w:val="0"/>
      <w:divBdr>
        <w:top w:val="none" w:sz="0" w:space="0" w:color="auto"/>
        <w:left w:val="none" w:sz="0" w:space="0" w:color="auto"/>
        <w:bottom w:val="none" w:sz="0" w:space="0" w:color="auto"/>
        <w:right w:val="none" w:sz="0" w:space="0" w:color="auto"/>
      </w:divBdr>
    </w:div>
    <w:div w:id="1703239764">
      <w:bodyDiv w:val="1"/>
      <w:marLeft w:val="0"/>
      <w:marRight w:val="0"/>
      <w:marTop w:val="0"/>
      <w:marBottom w:val="0"/>
      <w:divBdr>
        <w:top w:val="none" w:sz="0" w:space="0" w:color="auto"/>
        <w:left w:val="none" w:sz="0" w:space="0" w:color="auto"/>
        <w:bottom w:val="none" w:sz="0" w:space="0" w:color="auto"/>
        <w:right w:val="none" w:sz="0" w:space="0" w:color="auto"/>
      </w:divBdr>
    </w:div>
    <w:div w:id="1717970769">
      <w:bodyDiv w:val="1"/>
      <w:marLeft w:val="0"/>
      <w:marRight w:val="0"/>
      <w:marTop w:val="0"/>
      <w:marBottom w:val="0"/>
      <w:divBdr>
        <w:top w:val="none" w:sz="0" w:space="0" w:color="auto"/>
        <w:left w:val="none" w:sz="0" w:space="0" w:color="auto"/>
        <w:bottom w:val="none" w:sz="0" w:space="0" w:color="auto"/>
        <w:right w:val="none" w:sz="0" w:space="0" w:color="auto"/>
      </w:divBdr>
    </w:div>
    <w:div w:id="1724518963">
      <w:bodyDiv w:val="1"/>
      <w:marLeft w:val="0"/>
      <w:marRight w:val="0"/>
      <w:marTop w:val="0"/>
      <w:marBottom w:val="0"/>
      <w:divBdr>
        <w:top w:val="none" w:sz="0" w:space="0" w:color="auto"/>
        <w:left w:val="none" w:sz="0" w:space="0" w:color="auto"/>
        <w:bottom w:val="none" w:sz="0" w:space="0" w:color="auto"/>
        <w:right w:val="none" w:sz="0" w:space="0" w:color="auto"/>
      </w:divBdr>
    </w:div>
    <w:div w:id="1726295204">
      <w:bodyDiv w:val="1"/>
      <w:marLeft w:val="0"/>
      <w:marRight w:val="0"/>
      <w:marTop w:val="0"/>
      <w:marBottom w:val="0"/>
      <w:divBdr>
        <w:top w:val="none" w:sz="0" w:space="0" w:color="auto"/>
        <w:left w:val="none" w:sz="0" w:space="0" w:color="auto"/>
        <w:bottom w:val="none" w:sz="0" w:space="0" w:color="auto"/>
        <w:right w:val="none" w:sz="0" w:space="0" w:color="auto"/>
      </w:divBdr>
    </w:div>
    <w:div w:id="1736581481">
      <w:bodyDiv w:val="1"/>
      <w:marLeft w:val="0"/>
      <w:marRight w:val="0"/>
      <w:marTop w:val="0"/>
      <w:marBottom w:val="0"/>
      <w:divBdr>
        <w:top w:val="none" w:sz="0" w:space="0" w:color="auto"/>
        <w:left w:val="none" w:sz="0" w:space="0" w:color="auto"/>
        <w:bottom w:val="none" w:sz="0" w:space="0" w:color="auto"/>
        <w:right w:val="none" w:sz="0" w:space="0" w:color="auto"/>
      </w:divBdr>
    </w:div>
    <w:div w:id="1739816378">
      <w:bodyDiv w:val="1"/>
      <w:marLeft w:val="0"/>
      <w:marRight w:val="0"/>
      <w:marTop w:val="0"/>
      <w:marBottom w:val="0"/>
      <w:divBdr>
        <w:top w:val="none" w:sz="0" w:space="0" w:color="auto"/>
        <w:left w:val="none" w:sz="0" w:space="0" w:color="auto"/>
        <w:bottom w:val="none" w:sz="0" w:space="0" w:color="auto"/>
        <w:right w:val="none" w:sz="0" w:space="0" w:color="auto"/>
      </w:divBdr>
    </w:div>
    <w:div w:id="1740398442">
      <w:bodyDiv w:val="1"/>
      <w:marLeft w:val="0"/>
      <w:marRight w:val="0"/>
      <w:marTop w:val="0"/>
      <w:marBottom w:val="0"/>
      <w:divBdr>
        <w:top w:val="none" w:sz="0" w:space="0" w:color="auto"/>
        <w:left w:val="none" w:sz="0" w:space="0" w:color="auto"/>
        <w:bottom w:val="none" w:sz="0" w:space="0" w:color="auto"/>
        <w:right w:val="none" w:sz="0" w:space="0" w:color="auto"/>
      </w:divBdr>
    </w:div>
    <w:div w:id="1747653312">
      <w:bodyDiv w:val="1"/>
      <w:marLeft w:val="0"/>
      <w:marRight w:val="0"/>
      <w:marTop w:val="0"/>
      <w:marBottom w:val="0"/>
      <w:divBdr>
        <w:top w:val="none" w:sz="0" w:space="0" w:color="auto"/>
        <w:left w:val="none" w:sz="0" w:space="0" w:color="auto"/>
        <w:bottom w:val="none" w:sz="0" w:space="0" w:color="auto"/>
        <w:right w:val="none" w:sz="0" w:space="0" w:color="auto"/>
      </w:divBdr>
    </w:div>
    <w:div w:id="1759062543">
      <w:bodyDiv w:val="1"/>
      <w:marLeft w:val="0"/>
      <w:marRight w:val="0"/>
      <w:marTop w:val="0"/>
      <w:marBottom w:val="0"/>
      <w:divBdr>
        <w:top w:val="none" w:sz="0" w:space="0" w:color="auto"/>
        <w:left w:val="none" w:sz="0" w:space="0" w:color="auto"/>
        <w:bottom w:val="none" w:sz="0" w:space="0" w:color="auto"/>
        <w:right w:val="none" w:sz="0" w:space="0" w:color="auto"/>
      </w:divBdr>
    </w:div>
    <w:div w:id="1759136686">
      <w:bodyDiv w:val="1"/>
      <w:marLeft w:val="0"/>
      <w:marRight w:val="0"/>
      <w:marTop w:val="0"/>
      <w:marBottom w:val="0"/>
      <w:divBdr>
        <w:top w:val="none" w:sz="0" w:space="0" w:color="auto"/>
        <w:left w:val="none" w:sz="0" w:space="0" w:color="auto"/>
        <w:bottom w:val="none" w:sz="0" w:space="0" w:color="auto"/>
        <w:right w:val="none" w:sz="0" w:space="0" w:color="auto"/>
      </w:divBdr>
    </w:div>
    <w:div w:id="1765685525">
      <w:bodyDiv w:val="1"/>
      <w:marLeft w:val="0"/>
      <w:marRight w:val="0"/>
      <w:marTop w:val="0"/>
      <w:marBottom w:val="0"/>
      <w:divBdr>
        <w:top w:val="none" w:sz="0" w:space="0" w:color="auto"/>
        <w:left w:val="none" w:sz="0" w:space="0" w:color="auto"/>
        <w:bottom w:val="none" w:sz="0" w:space="0" w:color="auto"/>
        <w:right w:val="none" w:sz="0" w:space="0" w:color="auto"/>
      </w:divBdr>
    </w:div>
    <w:div w:id="1769037950">
      <w:bodyDiv w:val="1"/>
      <w:marLeft w:val="0"/>
      <w:marRight w:val="0"/>
      <w:marTop w:val="0"/>
      <w:marBottom w:val="0"/>
      <w:divBdr>
        <w:top w:val="none" w:sz="0" w:space="0" w:color="auto"/>
        <w:left w:val="none" w:sz="0" w:space="0" w:color="auto"/>
        <w:bottom w:val="none" w:sz="0" w:space="0" w:color="auto"/>
        <w:right w:val="none" w:sz="0" w:space="0" w:color="auto"/>
      </w:divBdr>
    </w:div>
    <w:div w:id="1769302171">
      <w:bodyDiv w:val="1"/>
      <w:marLeft w:val="0"/>
      <w:marRight w:val="0"/>
      <w:marTop w:val="0"/>
      <w:marBottom w:val="0"/>
      <w:divBdr>
        <w:top w:val="none" w:sz="0" w:space="0" w:color="auto"/>
        <w:left w:val="none" w:sz="0" w:space="0" w:color="auto"/>
        <w:bottom w:val="none" w:sz="0" w:space="0" w:color="auto"/>
        <w:right w:val="none" w:sz="0" w:space="0" w:color="auto"/>
      </w:divBdr>
    </w:div>
    <w:div w:id="1772898224">
      <w:bodyDiv w:val="1"/>
      <w:marLeft w:val="0"/>
      <w:marRight w:val="0"/>
      <w:marTop w:val="0"/>
      <w:marBottom w:val="0"/>
      <w:divBdr>
        <w:top w:val="none" w:sz="0" w:space="0" w:color="auto"/>
        <w:left w:val="none" w:sz="0" w:space="0" w:color="auto"/>
        <w:bottom w:val="none" w:sz="0" w:space="0" w:color="auto"/>
        <w:right w:val="none" w:sz="0" w:space="0" w:color="auto"/>
      </w:divBdr>
    </w:div>
    <w:div w:id="1777630203">
      <w:bodyDiv w:val="1"/>
      <w:marLeft w:val="0"/>
      <w:marRight w:val="0"/>
      <w:marTop w:val="0"/>
      <w:marBottom w:val="0"/>
      <w:divBdr>
        <w:top w:val="none" w:sz="0" w:space="0" w:color="auto"/>
        <w:left w:val="none" w:sz="0" w:space="0" w:color="auto"/>
        <w:bottom w:val="none" w:sz="0" w:space="0" w:color="auto"/>
        <w:right w:val="none" w:sz="0" w:space="0" w:color="auto"/>
      </w:divBdr>
    </w:div>
    <w:div w:id="1784350283">
      <w:bodyDiv w:val="1"/>
      <w:marLeft w:val="0"/>
      <w:marRight w:val="0"/>
      <w:marTop w:val="0"/>
      <w:marBottom w:val="0"/>
      <w:divBdr>
        <w:top w:val="none" w:sz="0" w:space="0" w:color="auto"/>
        <w:left w:val="none" w:sz="0" w:space="0" w:color="auto"/>
        <w:bottom w:val="none" w:sz="0" w:space="0" w:color="auto"/>
        <w:right w:val="none" w:sz="0" w:space="0" w:color="auto"/>
      </w:divBdr>
    </w:div>
    <w:div w:id="1788307102">
      <w:bodyDiv w:val="1"/>
      <w:marLeft w:val="0"/>
      <w:marRight w:val="0"/>
      <w:marTop w:val="0"/>
      <w:marBottom w:val="0"/>
      <w:divBdr>
        <w:top w:val="none" w:sz="0" w:space="0" w:color="auto"/>
        <w:left w:val="none" w:sz="0" w:space="0" w:color="auto"/>
        <w:bottom w:val="none" w:sz="0" w:space="0" w:color="auto"/>
        <w:right w:val="none" w:sz="0" w:space="0" w:color="auto"/>
      </w:divBdr>
    </w:div>
    <w:div w:id="1789661815">
      <w:bodyDiv w:val="1"/>
      <w:marLeft w:val="0"/>
      <w:marRight w:val="0"/>
      <w:marTop w:val="0"/>
      <w:marBottom w:val="0"/>
      <w:divBdr>
        <w:top w:val="none" w:sz="0" w:space="0" w:color="auto"/>
        <w:left w:val="none" w:sz="0" w:space="0" w:color="auto"/>
        <w:bottom w:val="none" w:sz="0" w:space="0" w:color="auto"/>
        <w:right w:val="none" w:sz="0" w:space="0" w:color="auto"/>
      </w:divBdr>
    </w:div>
    <w:div w:id="1804349900">
      <w:bodyDiv w:val="1"/>
      <w:marLeft w:val="0"/>
      <w:marRight w:val="0"/>
      <w:marTop w:val="0"/>
      <w:marBottom w:val="0"/>
      <w:divBdr>
        <w:top w:val="none" w:sz="0" w:space="0" w:color="auto"/>
        <w:left w:val="none" w:sz="0" w:space="0" w:color="auto"/>
        <w:bottom w:val="none" w:sz="0" w:space="0" w:color="auto"/>
        <w:right w:val="none" w:sz="0" w:space="0" w:color="auto"/>
      </w:divBdr>
    </w:div>
    <w:div w:id="1805392903">
      <w:bodyDiv w:val="1"/>
      <w:marLeft w:val="0"/>
      <w:marRight w:val="0"/>
      <w:marTop w:val="0"/>
      <w:marBottom w:val="0"/>
      <w:divBdr>
        <w:top w:val="none" w:sz="0" w:space="0" w:color="auto"/>
        <w:left w:val="none" w:sz="0" w:space="0" w:color="auto"/>
        <w:bottom w:val="none" w:sz="0" w:space="0" w:color="auto"/>
        <w:right w:val="none" w:sz="0" w:space="0" w:color="auto"/>
      </w:divBdr>
    </w:div>
    <w:div w:id="1811284876">
      <w:bodyDiv w:val="1"/>
      <w:marLeft w:val="0"/>
      <w:marRight w:val="0"/>
      <w:marTop w:val="0"/>
      <w:marBottom w:val="0"/>
      <w:divBdr>
        <w:top w:val="none" w:sz="0" w:space="0" w:color="auto"/>
        <w:left w:val="none" w:sz="0" w:space="0" w:color="auto"/>
        <w:bottom w:val="none" w:sz="0" w:space="0" w:color="auto"/>
        <w:right w:val="none" w:sz="0" w:space="0" w:color="auto"/>
      </w:divBdr>
    </w:div>
    <w:div w:id="1816021437">
      <w:bodyDiv w:val="1"/>
      <w:marLeft w:val="0"/>
      <w:marRight w:val="0"/>
      <w:marTop w:val="0"/>
      <w:marBottom w:val="0"/>
      <w:divBdr>
        <w:top w:val="none" w:sz="0" w:space="0" w:color="auto"/>
        <w:left w:val="none" w:sz="0" w:space="0" w:color="auto"/>
        <w:bottom w:val="none" w:sz="0" w:space="0" w:color="auto"/>
        <w:right w:val="none" w:sz="0" w:space="0" w:color="auto"/>
      </w:divBdr>
    </w:div>
    <w:div w:id="1822230546">
      <w:bodyDiv w:val="1"/>
      <w:marLeft w:val="0"/>
      <w:marRight w:val="0"/>
      <w:marTop w:val="0"/>
      <w:marBottom w:val="0"/>
      <w:divBdr>
        <w:top w:val="none" w:sz="0" w:space="0" w:color="auto"/>
        <w:left w:val="none" w:sz="0" w:space="0" w:color="auto"/>
        <w:bottom w:val="none" w:sz="0" w:space="0" w:color="auto"/>
        <w:right w:val="none" w:sz="0" w:space="0" w:color="auto"/>
      </w:divBdr>
    </w:div>
    <w:div w:id="1832401247">
      <w:bodyDiv w:val="1"/>
      <w:marLeft w:val="0"/>
      <w:marRight w:val="0"/>
      <w:marTop w:val="0"/>
      <w:marBottom w:val="0"/>
      <w:divBdr>
        <w:top w:val="none" w:sz="0" w:space="0" w:color="auto"/>
        <w:left w:val="none" w:sz="0" w:space="0" w:color="auto"/>
        <w:bottom w:val="none" w:sz="0" w:space="0" w:color="auto"/>
        <w:right w:val="none" w:sz="0" w:space="0" w:color="auto"/>
      </w:divBdr>
    </w:div>
    <w:div w:id="1837110607">
      <w:bodyDiv w:val="1"/>
      <w:marLeft w:val="0"/>
      <w:marRight w:val="0"/>
      <w:marTop w:val="0"/>
      <w:marBottom w:val="0"/>
      <w:divBdr>
        <w:top w:val="none" w:sz="0" w:space="0" w:color="auto"/>
        <w:left w:val="none" w:sz="0" w:space="0" w:color="auto"/>
        <w:bottom w:val="none" w:sz="0" w:space="0" w:color="auto"/>
        <w:right w:val="none" w:sz="0" w:space="0" w:color="auto"/>
      </w:divBdr>
    </w:div>
    <w:div w:id="1837576063">
      <w:bodyDiv w:val="1"/>
      <w:marLeft w:val="0"/>
      <w:marRight w:val="0"/>
      <w:marTop w:val="0"/>
      <w:marBottom w:val="0"/>
      <w:divBdr>
        <w:top w:val="none" w:sz="0" w:space="0" w:color="auto"/>
        <w:left w:val="none" w:sz="0" w:space="0" w:color="auto"/>
        <w:bottom w:val="none" w:sz="0" w:space="0" w:color="auto"/>
        <w:right w:val="none" w:sz="0" w:space="0" w:color="auto"/>
      </w:divBdr>
    </w:div>
    <w:div w:id="1840197151">
      <w:bodyDiv w:val="1"/>
      <w:marLeft w:val="0"/>
      <w:marRight w:val="0"/>
      <w:marTop w:val="0"/>
      <w:marBottom w:val="0"/>
      <w:divBdr>
        <w:top w:val="none" w:sz="0" w:space="0" w:color="auto"/>
        <w:left w:val="none" w:sz="0" w:space="0" w:color="auto"/>
        <w:bottom w:val="none" w:sz="0" w:space="0" w:color="auto"/>
        <w:right w:val="none" w:sz="0" w:space="0" w:color="auto"/>
      </w:divBdr>
    </w:div>
    <w:div w:id="1855612816">
      <w:bodyDiv w:val="1"/>
      <w:marLeft w:val="0"/>
      <w:marRight w:val="0"/>
      <w:marTop w:val="0"/>
      <w:marBottom w:val="0"/>
      <w:divBdr>
        <w:top w:val="none" w:sz="0" w:space="0" w:color="auto"/>
        <w:left w:val="none" w:sz="0" w:space="0" w:color="auto"/>
        <w:bottom w:val="none" w:sz="0" w:space="0" w:color="auto"/>
        <w:right w:val="none" w:sz="0" w:space="0" w:color="auto"/>
      </w:divBdr>
    </w:div>
    <w:div w:id="1856118627">
      <w:bodyDiv w:val="1"/>
      <w:marLeft w:val="0"/>
      <w:marRight w:val="0"/>
      <w:marTop w:val="0"/>
      <w:marBottom w:val="0"/>
      <w:divBdr>
        <w:top w:val="none" w:sz="0" w:space="0" w:color="auto"/>
        <w:left w:val="none" w:sz="0" w:space="0" w:color="auto"/>
        <w:bottom w:val="none" w:sz="0" w:space="0" w:color="auto"/>
        <w:right w:val="none" w:sz="0" w:space="0" w:color="auto"/>
      </w:divBdr>
    </w:div>
    <w:div w:id="1865627529">
      <w:bodyDiv w:val="1"/>
      <w:marLeft w:val="0"/>
      <w:marRight w:val="0"/>
      <w:marTop w:val="0"/>
      <w:marBottom w:val="0"/>
      <w:divBdr>
        <w:top w:val="none" w:sz="0" w:space="0" w:color="auto"/>
        <w:left w:val="none" w:sz="0" w:space="0" w:color="auto"/>
        <w:bottom w:val="none" w:sz="0" w:space="0" w:color="auto"/>
        <w:right w:val="none" w:sz="0" w:space="0" w:color="auto"/>
      </w:divBdr>
    </w:div>
    <w:div w:id="1885674480">
      <w:bodyDiv w:val="1"/>
      <w:marLeft w:val="0"/>
      <w:marRight w:val="0"/>
      <w:marTop w:val="0"/>
      <w:marBottom w:val="0"/>
      <w:divBdr>
        <w:top w:val="none" w:sz="0" w:space="0" w:color="auto"/>
        <w:left w:val="none" w:sz="0" w:space="0" w:color="auto"/>
        <w:bottom w:val="none" w:sz="0" w:space="0" w:color="auto"/>
        <w:right w:val="none" w:sz="0" w:space="0" w:color="auto"/>
      </w:divBdr>
    </w:div>
    <w:div w:id="1888180360">
      <w:bodyDiv w:val="1"/>
      <w:marLeft w:val="0"/>
      <w:marRight w:val="0"/>
      <w:marTop w:val="0"/>
      <w:marBottom w:val="0"/>
      <w:divBdr>
        <w:top w:val="none" w:sz="0" w:space="0" w:color="auto"/>
        <w:left w:val="none" w:sz="0" w:space="0" w:color="auto"/>
        <w:bottom w:val="none" w:sz="0" w:space="0" w:color="auto"/>
        <w:right w:val="none" w:sz="0" w:space="0" w:color="auto"/>
      </w:divBdr>
    </w:div>
    <w:div w:id="1890918688">
      <w:bodyDiv w:val="1"/>
      <w:marLeft w:val="0"/>
      <w:marRight w:val="0"/>
      <w:marTop w:val="0"/>
      <w:marBottom w:val="0"/>
      <w:divBdr>
        <w:top w:val="none" w:sz="0" w:space="0" w:color="auto"/>
        <w:left w:val="none" w:sz="0" w:space="0" w:color="auto"/>
        <w:bottom w:val="none" w:sz="0" w:space="0" w:color="auto"/>
        <w:right w:val="none" w:sz="0" w:space="0" w:color="auto"/>
      </w:divBdr>
    </w:div>
    <w:div w:id="1916353925">
      <w:bodyDiv w:val="1"/>
      <w:marLeft w:val="0"/>
      <w:marRight w:val="0"/>
      <w:marTop w:val="0"/>
      <w:marBottom w:val="0"/>
      <w:divBdr>
        <w:top w:val="none" w:sz="0" w:space="0" w:color="auto"/>
        <w:left w:val="none" w:sz="0" w:space="0" w:color="auto"/>
        <w:bottom w:val="none" w:sz="0" w:space="0" w:color="auto"/>
        <w:right w:val="none" w:sz="0" w:space="0" w:color="auto"/>
      </w:divBdr>
    </w:div>
    <w:div w:id="1922636400">
      <w:bodyDiv w:val="1"/>
      <w:marLeft w:val="0"/>
      <w:marRight w:val="0"/>
      <w:marTop w:val="0"/>
      <w:marBottom w:val="0"/>
      <w:divBdr>
        <w:top w:val="none" w:sz="0" w:space="0" w:color="auto"/>
        <w:left w:val="none" w:sz="0" w:space="0" w:color="auto"/>
        <w:bottom w:val="none" w:sz="0" w:space="0" w:color="auto"/>
        <w:right w:val="none" w:sz="0" w:space="0" w:color="auto"/>
      </w:divBdr>
    </w:div>
    <w:div w:id="1952588257">
      <w:bodyDiv w:val="1"/>
      <w:marLeft w:val="0"/>
      <w:marRight w:val="0"/>
      <w:marTop w:val="0"/>
      <w:marBottom w:val="0"/>
      <w:divBdr>
        <w:top w:val="none" w:sz="0" w:space="0" w:color="auto"/>
        <w:left w:val="none" w:sz="0" w:space="0" w:color="auto"/>
        <w:bottom w:val="none" w:sz="0" w:space="0" w:color="auto"/>
        <w:right w:val="none" w:sz="0" w:space="0" w:color="auto"/>
      </w:divBdr>
    </w:div>
    <w:div w:id="1958560092">
      <w:bodyDiv w:val="1"/>
      <w:marLeft w:val="0"/>
      <w:marRight w:val="0"/>
      <w:marTop w:val="0"/>
      <w:marBottom w:val="0"/>
      <w:divBdr>
        <w:top w:val="none" w:sz="0" w:space="0" w:color="auto"/>
        <w:left w:val="none" w:sz="0" w:space="0" w:color="auto"/>
        <w:bottom w:val="none" w:sz="0" w:space="0" w:color="auto"/>
        <w:right w:val="none" w:sz="0" w:space="0" w:color="auto"/>
      </w:divBdr>
    </w:div>
    <w:div w:id="1963732464">
      <w:bodyDiv w:val="1"/>
      <w:marLeft w:val="0"/>
      <w:marRight w:val="0"/>
      <w:marTop w:val="0"/>
      <w:marBottom w:val="0"/>
      <w:divBdr>
        <w:top w:val="none" w:sz="0" w:space="0" w:color="auto"/>
        <w:left w:val="none" w:sz="0" w:space="0" w:color="auto"/>
        <w:bottom w:val="none" w:sz="0" w:space="0" w:color="auto"/>
        <w:right w:val="none" w:sz="0" w:space="0" w:color="auto"/>
      </w:divBdr>
    </w:div>
    <w:div w:id="1980069059">
      <w:bodyDiv w:val="1"/>
      <w:marLeft w:val="0"/>
      <w:marRight w:val="0"/>
      <w:marTop w:val="0"/>
      <w:marBottom w:val="0"/>
      <w:divBdr>
        <w:top w:val="none" w:sz="0" w:space="0" w:color="auto"/>
        <w:left w:val="none" w:sz="0" w:space="0" w:color="auto"/>
        <w:bottom w:val="none" w:sz="0" w:space="0" w:color="auto"/>
        <w:right w:val="none" w:sz="0" w:space="0" w:color="auto"/>
      </w:divBdr>
    </w:div>
    <w:div w:id="1980987134">
      <w:bodyDiv w:val="1"/>
      <w:marLeft w:val="0"/>
      <w:marRight w:val="0"/>
      <w:marTop w:val="0"/>
      <w:marBottom w:val="0"/>
      <w:divBdr>
        <w:top w:val="none" w:sz="0" w:space="0" w:color="auto"/>
        <w:left w:val="none" w:sz="0" w:space="0" w:color="auto"/>
        <w:bottom w:val="none" w:sz="0" w:space="0" w:color="auto"/>
        <w:right w:val="none" w:sz="0" w:space="0" w:color="auto"/>
      </w:divBdr>
    </w:div>
    <w:div w:id="1989629939">
      <w:bodyDiv w:val="1"/>
      <w:marLeft w:val="0"/>
      <w:marRight w:val="0"/>
      <w:marTop w:val="0"/>
      <w:marBottom w:val="0"/>
      <w:divBdr>
        <w:top w:val="none" w:sz="0" w:space="0" w:color="auto"/>
        <w:left w:val="none" w:sz="0" w:space="0" w:color="auto"/>
        <w:bottom w:val="none" w:sz="0" w:space="0" w:color="auto"/>
        <w:right w:val="none" w:sz="0" w:space="0" w:color="auto"/>
      </w:divBdr>
    </w:div>
    <w:div w:id="1992633189">
      <w:bodyDiv w:val="1"/>
      <w:marLeft w:val="0"/>
      <w:marRight w:val="0"/>
      <w:marTop w:val="0"/>
      <w:marBottom w:val="0"/>
      <w:divBdr>
        <w:top w:val="none" w:sz="0" w:space="0" w:color="auto"/>
        <w:left w:val="none" w:sz="0" w:space="0" w:color="auto"/>
        <w:bottom w:val="none" w:sz="0" w:space="0" w:color="auto"/>
        <w:right w:val="none" w:sz="0" w:space="0" w:color="auto"/>
      </w:divBdr>
    </w:div>
    <w:div w:id="1996180394">
      <w:bodyDiv w:val="1"/>
      <w:marLeft w:val="0"/>
      <w:marRight w:val="0"/>
      <w:marTop w:val="0"/>
      <w:marBottom w:val="0"/>
      <w:divBdr>
        <w:top w:val="none" w:sz="0" w:space="0" w:color="auto"/>
        <w:left w:val="none" w:sz="0" w:space="0" w:color="auto"/>
        <w:bottom w:val="none" w:sz="0" w:space="0" w:color="auto"/>
        <w:right w:val="none" w:sz="0" w:space="0" w:color="auto"/>
      </w:divBdr>
    </w:div>
    <w:div w:id="2001690971">
      <w:bodyDiv w:val="1"/>
      <w:marLeft w:val="0"/>
      <w:marRight w:val="0"/>
      <w:marTop w:val="0"/>
      <w:marBottom w:val="0"/>
      <w:divBdr>
        <w:top w:val="none" w:sz="0" w:space="0" w:color="auto"/>
        <w:left w:val="none" w:sz="0" w:space="0" w:color="auto"/>
        <w:bottom w:val="none" w:sz="0" w:space="0" w:color="auto"/>
        <w:right w:val="none" w:sz="0" w:space="0" w:color="auto"/>
      </w:divBdr>
    </w:div>
    <w:div w:id="2002614910">
      <w:bodyDiv w:val="1"/>
      <w:marLeft w:val="0"/>
      <w:marRight w:val="0"/>
      <w:marTop w:val="0"/>
      <w:marBottom w:val="0"/>
      <w:divBdr>
        <w:top w:val="none" w:sz="0" w:space="0" w:color="auto"/>
        <w:left w:val="none" w:sz="0" w:space="0" w:color="auto"/>
        <w:bottom w:val="none" w:sz="0" w:space="0" w:color="auto"/>
        <w:right w:val="none" w:sz="0" w:space="0" w:color="auto"/>
      </w:divBdr>
    </w:div>
    <w:div w:id="2046131431">
      <w:bodyDiv w:val="1"/>
      <w:marLeft w:val="0"/>
      <w:marRight w:val="0"/>
      <w:marTop w:val="0"/>
      <w:marBottom w:val="0"/>
      <w:divBdr>
        <w:top w:val="none" w:sz="0" w:space="0" w:color="auto"/>
        <w:left w:val="none" w:sz="0" w:space="0" w:color="auto"/>
        <w:bottom w:val="none" w:sz="0" w:space="0" w:color="auto"/>
        <w:right w:val="none" w:sz="0" w:space="0" w:color="auto"/>
      </w:divBdr>
    </w:div>
    <w:div w:id="2047560035">
      <w:bodyDiv w:val="1"/>
      <w:marLeft w:val="0"/>
      <w:marRight w:val="0"/>
      <w:marTop w:val="0"/>
      <w:marBottom w:val="0"/>
      <w:divBdr>
        <w:top w:val="none" w:sz="0" w:space="0" w:color="auto"/>
        <w:left w:val="none" w:sz="0" w:space="0" w:color="auto"/>
        <w:bottom w:val="none" w:sz="0" w:space="0" w:color="auto"/>
        <w:right w:val="none" w:sz="0" w:space="0" w:color="auto"/>
      </w:divBdr>
    </w:div>
    <w:div w:id="2048212466">
      <w:bodyDiv w:val="1"/>
      <w:marLeft w:val="0"/>
      <w:marRight w:val="0"/>
      <w:marTop w:val="0"/>
      <w:marBottom w:val="0"/>
      <w:divBdr>
        <w:top w:val="none" w:sz="0" w:space="0" w:color="auto"/>
        <w:left w:val="none" w:sz="0" w:space="0" w:color="auto"/>
        <w:bottom w:val="none" w:sz="0" w:space="0" w:color="auto"/>
        <w:right w:val="none" w:sz="0" w:space="0" w:color="auto"/>
      </w:divBdr>
    </w:div>
    <w:div w:id="2054234572">
      <w:bodyDiv w:val="1"/>
      <w:marLeft w:val="0"/>
      <w:marRight w:val="0"/>
      <w:marTop w:val="0"/>
      <w:marBottom w:val="0"/>
      <w:divBdr>
        <w:top w:val="none" w:sz="0" w:space="0" w:color="auto"/>
        <w:left w:val="none" w:sz="0" w:space="0" w:color="auto"/>
        <w:bottom w:val="none" w:sz="0" w:space="0" w:color="auto"/>
        <w:right w:val="none" w:sz="0" w:space="0" w:color="auto"/>
      </w:divBdr>
    </w:div>
    <w:div w:id="2058311299">
      <w:bodyDiv w:val="1"/>
      <w:marLeft w:val="0"/>
      <w:marRight w:val="0"/>
      <w:marTop w:val="0"/>
      <w:marBottom w:val="0"/>
      <w:divBdr>
        <w:top w:val="none" w:sz="0" w:space="0" w:color="auto"/>
        <w:left w:val="none" w:sz="0" w:space="0" w:color="auto"/>
        <w:bottom w:val="none" w:sz="0" w:space="0" w:color="auto"/>
        <w:right w:val="none" w:sz="0" w:space="0" w:color="auto"/>
      </w:divBdr>
    </w:div>
    <w:div w:id="2059162722">
      <w:bodyDiv w:val="1"/>
      <w:marLeft w:val="0"/>
      <w:marRight w:val="0"/>
      <w:marTop w:val="0"/>
      <w:marBottom w:val="0"/>
      <w:divBdr>
        <w:top w:val="none" w:sz="0" w:space="0" w:color="auto"/>
        <w:left w:val="none" w:sz="0" w:space="0" w:color="auto"/>
        <w:bottom w:val="none" w:sz="0" w:space="0" w:color="auto"/>
        <w:right w:val="none" w:sz="0" w:space="0" w:color="auto"/>
      </w:divBdr>
    </w:div>
    <w:div w:id="2071417661">
      <w:bodyDiv w:val="1"/>
      <w:marLeft w:val="0"/>
      <w:marRight w:val="0"/>
      <w:marTop w:val="0"/>
      <w:marBottom w:val="0"/>
      <w:divBdr>
        <w:top w:val="none" w:sz="0" w:space="0" w:color="auto"/>
        <w:left w:val="none" w:sz="0" w:space="0" w:color="auto"/>
        <w:bottom w:val="none" w:sz="0" w:space="0" w:color="auto"/>
        <w:right w:val="none" w:sz="0" w:space="0" w:color="auto"/>
      </w:divBdr>
    </w:div>
    <w:div w:id="2079817496">
      <w:bodyDiv w:val="1"/>
      <w:marLeft w:val="0"/>
      <w:marRight w:val="0"/>
      <w:marTop w:val="0"/>
      <w:marBottom w:val="0"/>
      <w:divBdr>
        <w:top w:val="none" w:sz="0" w:space="0" w:color="auto"/>
        <w:left w:val="none" w:sz="0" w:space="0" w:color="auto"/>
        <w:bottom w:val="none" w:sz="0" w:space="0" w:color="auto"/>
        <w:right w:val="none" w:sz="0" w:space="0" w:color="auto"/>
      </w:divBdr>
    </w:div>
    <w:div w:id="2087722461">
      <w:bodyDiv w:val="1"/>
      <w:marLeft w:val="0"/>
      <w:marRight w:val="0"/>
      <w:marTop w:val="0"/>
      <w:marBottom w:val="0"/>
      <w:divBdr>
        <w:top w:val="none" w:sz="0" w:space="0" w:color="auto"/>
        <w:left w:val="none" w:sz="0" w:space="0" w:color="auto"/>
        <w:bottom w:val="none" w:sz="0" w:space="0" w:color="auto"/>
        <w:right w:val="none" w:sz="0" w:space="0" w:color="auto"/>
      </w:divBdr>
    </w:div>
    <w:div w:id="2090543968">
      <w:bodyDiv w:val="1"/>
      <w:marLeft w:val="0"/>
      <w:marRight w:val="0"/>
      <w:marTop w:val="0"/>
      <w:marBottom w:val="0"/>
      <w:divBdr>
        <w:top w:val="none" w:sz="0" w:space="0" w:color="auto"/>
        <w:left w:val="none" w:sz="0" w:space="0" w:color="auto"/>
        <w:bottom w:val="none" w:sz="0" w:space="0" w:color="auto"/>
        <w:right w:val="none" w:sz="0" w:space="0" w:color="auto"/>
      </w:divBdr>
    </w:div>
    <w:div w:id="2098163164">
      <w:bodyDiv w:val="1"/>
      <w:marLeft w:val="0"/>
      <w:marRight w:val="0"/>
      <w:marTop w:val="0"/>
      <w:marBottom w:val="0"/>
      <w:divBdr>
        <w:top w:val="none" w:sz="0" w:space="0" w:color="auto"/>
        <w:left w:val="none" w:sz="0" w:space="0" w:color="auto"/>
        <w:bottom w:val="none" w:sz="0" w:space="0" w:color="auto"/>
        <w:right w:val="none" w:sz="0" w:space="0" w:color="auto"/>
      </w:divBdr>
    </w:div>
    <w:div w:id="2130082529">
      <w:bodyDiv w:val="1"/>
      <w:marLeft w:val="0"/>
      <w:marRight w:val="0"/>
      <w:marTop w:val="0"/>
      <w:marBottom w:val="0"/>
      <w:divBdr>
        <w:top w:val="none" w:sz="0" w:space="0" w:color="auto"/>
        <w:left w:val="none" w:sz="0" w:space="0" w:color="auto"/>
        <w:bottom w:val="none" w:sz="0" w:space="0" w:color="auto"/>
        <w:right w:val="none" w:sz="0" w:space="0" w:color="auto"/>
      </w:divBdr>
    </w:div>
    <w:div w:id="214114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funds.com.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service@efunds.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EB83EF-FD05-4860-AD94-C6823563A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180</Pages>
  <Words>19611</Words>
  <Characters>111789</Characters>
  <Application>Microsoft Office Word</Application>
  <DocSecurity>0</DocSecurity>
  <Lines>931</Lines>
  <Paragraphs>262</Paragraphs>
  <ScaleCrop>false</ScaleCrop>
  <Company>易方达基金管理有限公司</Company>
  <LinksUpToDate>false</LinksUpToDate>
  <CharactersWithSpaces>131138</CharactersWithSpaces>
  <SharedDoc>false</SharedDoc>
  <HLinks>
    <vt:vector size="168" baseType="variant">
      <vt:variant>
        <vt:i4>1704044</vt:i4>
      </vt:variant>
      <vt:variant>
        <vt:i4>162</vt:i4>
      </vt:variant>
      <vt:variant>
        <vt:i4>0</vt:i4>
      </vt:variant>
      <vt:variant>
        <vt:i4>5</vt:i4>
      </vt:variant>
      <vt:variant>
        <vt:lpwstr>mailto:service@efunds.com.cn</vt:lpwstr>
      </vt:variant>
      <vt:variant>
        <vt:lpwstr/>
      </vt:variant>
      <vt:variant>
        <vt:i4>6160454</vt:i4>
      </vt:variant>
      <vt:variant>
        <vt:i4>159</vt:i4>
      </vt:variant>
      <vt:variant>
        <vt:i4>0</vt:i4>
      </vt:variant>
      <vt:variant>
        <vt:i4>5</vt:i4>
      </vt:variant>
      <vt:variant>
        <vt:lpwstr>http://www.efunds.com.cn/</vt:lpwstr>
      </vt:variant>
      <vt:variant>
        <vt:lpwstr/>
      </vt:variant>
      <vt:variant>
        <vt:i4>1572920</vt:i4>
      </vt:variant>
      <vt:variant>
        <vt:i4>152</vt:i4>
      </vt:variant>
      <vt:variant>
        <vt:i4>0</vt:i4>
      </vt:variant>
      <vt:variant>
        <vt:i4>5</vt:i4>
      </vt:variant>
      <vt:variant>
        <vt:lpwstr/>
      </vt:variant>
      <vt:variant>
        <vt:lpwstr>_Toc393704859</vt:lpwstr>
      </vt:variant>
      <vt:variant>
        <vt:i4>1572920</vt:i4>
      </vt:variant>
      <vt:variant>
        <vt:i4>146</vt:i4>
      </vt:variant>
      <vt:variant>
        <vt:i4>0</vt:i4>
      </vt:variant>
      <vt:variant>
        <vt:i4>5</vt:i4>
      </vt:variant>
      <vt:variant>
        <vt:lpwstr/>
      </vt:variant>
      <vt:variant>
        <vt:lpwstr>_Toc393704858</vt:lpwstr>
      </vt:variant>
      <vt:variant>
        <vt:i4>1572920</vt:i4>
      </vt:variant>
      <vt:variant>
        <vt:i4>140</vt:i4>
      </vt:variant>
      <vt:variant>
        <vt:i4>0</vt:i4>
      </vt:variant>
      <vt:variant>
        <vt:i4>5</vt:i4>
      </vt:variant>
      <vt:variant>
        <vt:lpwstr/>
      </vt:variant>
      <vt:variant>
        <vt:lpwstr>_Toc393704857</vt:lpwstr>
      </vt:variant>
      <vt:variant>
        <vt:i4>1572920</vt:i4>
      </vt:variant>
      <vt:variant>
        <vt:i4>134</vt:i4>
      </vt:variant>
      <vt:variant>
        <vt:i4>0</vt:i4>
      </vt:variant>
      <vt:variant>
        <vt:i4>5</vt:i4>
      </vt:variant>
      <vt:variant>
        <vt:lpwstr/>
      </vt:variant>
      <vt:variant>
        <vt:lpwstr>_Toc393704856</vt:lpwstr>
      </vt:variant>
      <vt:variant>
        <vt:i4>1572920</vt:i4>
      </vt:variant>
      <vt:variant>
        <vt:i4>128</vt:i4>
      </vt:variant>
      <vt:variant>
        <vt:i4>0</vt:i4>
      </vt:variant>
      <vt:variant>
        <vt:i4>5</vt:i4>
      </vt:variant>
      <vt:variant>
        <vt:lpwstr/>
      </vt:variant>
      <vt:variant>
        <vt:lpwstr>_Toc393704855</vt:lpwstr>
      </vt:variant>
      <vt:variant>
        <vt:i4>1572920</vt:i4>
      </vt:variant>
      <vt:variant>
        <vt:i4>122</vt:i4>
      </vt:variant>
      <vt:variant>
        <vt:i4>0</vt:i4>
      </vt:variant>
      <vt:variant>
        <vt:i4>5</vt:i4>
      </vt:variant>
      <vt:variant>
        <vt:lpwstr/>
      </vt:variant>
      <vt:variant>
        <vt:lpwstr>_Toc393704854</vt:lpwstr>
      </vt:variant>
      <vt:variant>
        <vt:i4>1572920</vt:i4>
      </vt:variant>
      <vt:variant>
        <vt:i4>116</vt:i4>
      </vt:variant>
      <vt:variant>
        <vt:i4>0</vt:i4>
      </vt:variant>
      <vt:variant>
        <vt:i4>5</vt:i4>
      </vt:variant>
      <vt:variant>
        <vt:lpwstr/>
      </vt:variant>
      <vt:variant>
        <vt:lpwstr>_Toc393704853</vt:lpwstr>
      </vt:variant>
      <vt:variant>
        <vt:i4>1572920</vt:i4>
      </vt:variant>
      <vt:variant>
        <vt:i4>110</vt:i4>
      </vt:variant>
      <vt:variant>
        <vt:i4>0</vt:i4>
      </vt:variant>
      <vt:variant>
        <vt:i4>5</vt:i4>
      </vt:variant>
      <vt:variant>
        <vt:lpwstr/>
      </vt:variant>
      <vt:variant>
        <vt:lpwstr>_Toc393704852</vt:lpwstr>
      </vt:variant>
      <vt:variant>
        <vt:i4>1572920</vt:i4>
      </vt:variant>
      <vt:variant>
        <vt:i4>104</vt:i4>
      </vt:variant>
      <vt:variant>
        <vt:i4>0</vt:i4>
      </vt:variant>
      <vt:variant>
        <vt:i4>5</vt:i4>
      </vt:variant>
      <vt:variant>
        <vt:lpwstr/>
      </vt:variant>
      <vt:variant>
        <vt:lpwstr>_Toc393704851</vt:lpwstr>
      </vt:variant>
      <vt:variant>
        <vt:i4>1572920</vt:i4>
      </vt:variant>
      <vt:variant>
        <vt:i4>98</vt:i4>
      </vt:variant>
      <vt:variant>
        <vt:i4>0</vt:i4>
      </vt:variant>
      <vt:variant>
        <vt:i4>5</vt:i4>
      </vt:variant>
      <vt:variant>
        <vt:lpwstr/>
      </vt:variant>
      <vt:variant>
        <vt:lpwstr>_Toc393704850</vt:lpwstr>
      </vt:variant>
      <vt:variant>
        <vt:i4>1638456</vt:i4>
      </vt:variant>
      <vt:variant>
        <vt:i4>92</vt:i4>
      </vt:variant>
      <vt:variant>
        <vt:i4>0</vt:i4>
      </vt:variant>
      <vt:variant>
        <vt:i4>5</vt:i4>
      </vt:variant>
      <vt:variant>
        <vt:lpwstr/>
      </vt:variant>
      <vt:variant>
        <vt:lpwstr>_Toc393704849</vt:lpwstr>
      </vt:variant>
      <vt:variant>
        <vt:i4>1638456</vt:i4>
      </vt:variant>
      <vt:variant>
        <vt:i4>86</vt:i4>
      </vt:variant>
      <vt:variant>
        <vt:i4>0</vt:i4>
      </vt:variant>
      <vt:variant>
        <vt:i4>5</vt:i4>
      </vt:variant>
      <vt:variant>
        <vt:lpwstr/>
      </vt:variant>
      <vt:variant>
        <vt:lpwstr>_Toc393704848</vt:lpwstr>
      </vt:variant>
      <vt:variant>
        <vt:i4>1638456</vt:i4>
      </vt:variant>
      <vt:variant>
        <vt:i4>80</vt:i4>
      </vt:variant>
      <vt:variant>
        <vt:i4>0</vt:i4>
      </vt:variant>
      <vt:variant>
        <vt:i4>5</vt:i4>
      </vt:variant>
      <vt:variant>
        <vt:lpwstr/>
      </vt:variant>
      <vt:variant>
        <vt:lpwstr>_Toc393704847</vt:lpwstr>
      </vt:variant>
      <vt:variant>
        <vt:i4>1638456</vt:i4>
      </vt:variant>
      <vt:variant>
        <vt:i4>74</vt:i4>
      </vt:variant>
      <vt:variant>
        <vt:i4>0</vt:i4>
      </vt:variant>
      <vt:variant>
        <vt:i4>5</vt:i4>
      </vt:variant>
      <vt:variant>
        <vt:lpwstr/>
      </vt:variant>
      <vt:variant>
        <vt:lpwstr>_Toc393704846</vt:lpwstr>
      </vt:variant>
      <vt:variant>
        <vt:i4>1638456</vt:i4>
      </vt:variant>
      <vt:variant>
        <vt:i4>68</vt:i4>
      </vt:variant>
      <vt:variant>
        <vt:i4>0</vt:i4>
      </vt:variant>
      <vt:variant>
        <vt:i4>5</vt:i4>
      </vt:variant>
      <vt:variant>
        <vt:lpwstr/>
      </vt:variant>
      <vt:variant>
        <vt:lpwstr>_Toc393704845</vt:lpwstr>
      </vt:variant>
      <vt:variant>
        <vt:i4>1638456</vt:i4>
      </vt:variant>
      <vt:variant>
        <vt:i4>62</vt:i4>
      </vt:variant>
      <vt:variant>
        <vt:i4>0</vt:i4>
      </vt:variant>
      <vt:variant>
        <vt:i4>5</vt:i4>
      </vt:variant>
      <vt:variant>
        <vt:lpwstr/>
      </vt:variant>
      <vt:variant>
        <vt:lpwstr>_Toc393704844</vt:lpwstr>
      </vt:variant>
      <vt:variant>
        <vt:i4>1638456</vt:i4>
      </vt:variant>
      <vt:variant>
        <vt:i4>56</vt:i4>
      </vt:variant>
      <vt:variant>
        <vt:i4>0</vt:i4>
      </vt:variant>
      <vt:variant>
        <vt:i4>5</vt:i4>
      </vt:variant>
      <vt:variant>
        <vt:lpwstr/>
      </vt:variant>
      <vt:variant>
        <vt:lpwstr>_Toc393704843</vt:lpwstr>
      </vt:variant>
      <vt:variant>
        <vt:i4>1638456</vt:i4>
      </vt:variant>
      <vt:variant>
        <vt:i4>50</vt:i4>
      </vt:variant>
      <vt:variant>
        <vt:i4>0</vt:i4>
      </vt:variant>
      <vt:variant>
        <vt:i4>5</vt:i4>
      </vt:variant>
      <vt:variant>
        <vt:lpwstr/>
      </vt:variant>
      <vt:variant>
        <vt:lpwstr>_Toc393704842</vt:lpwstr>
      </vt:variant>
      <vt:variant>
        <vt:i4>1638456</vt:i4>
      </vt:variant>
      <vt:variant>
        <vt:i4>44</vt:i4>
      </vt:variant>
      <vt:variant>
        <vt:i4>0</vt:i4>
      </vt:variant>
      <vt:variant>
        <vt:i4>5</vt:i4>
      </vt:variant>
      <vt:variant>
        <vt:lpwstr/>
      </vt:variant>
      <vt:variant>
        <vt:lpwstr>_Toc393704841</vt:lpwstr>
      </vt:variant>
      <vt:variant>
        <vt:i4>1638456</vt:i4>
      </vt:variant>
      <vt:variant>
        <vt:i4>38</vt:i4>
      </vt:variant>
      <vt:variant>
        <vt:i4>0</vt:i4>
      </vt:variant>
      <vt:variant>
        <vt:i4>5</vt:i4>
      </vt:variant>
      <vt:variant>
        <vt:lpwstr/>
      </vt:variant>
      <vt:variant>
        <vt:lpwstr>_Toc393704840</vt:lpwstr>
      </vt:variant>
      <vt:variant>
        <vt:i4>1966136</vt:i4>
      </vt:variant>
      <vt:variant>
        <vt:i4>32</vt:i4>
      </vt:variant>
      <vt:variant>
        <vt:i4>0</vt:i4>
      </vt:variant>
      <vt:variant>
        <vt:i4>5</vt:i4>
      </vt:variant>
      <vt:variant>
        <vt:lpwstr/>
      </vt:variant>
      <vt:variant>
        <vt:lpwstr>_Toc393704839</vt:lpwstr>
      </vt:variant>
      <vt:variant>
        <vt:i4>1966136</vt:i4>
      </vt:variant>
      <vt:variant>
        <vt:i4>26</vt:i4>
      </vt:variant>
      <vt:variant>
        <vt:i4>0</vt:i4>
      </vt:variant>
      <vt:variant>
        <vt:i4>5</vt:i4>
      </vt:variant>
      <vt:variant>
        <vt:lpwstr/>
      </vt:variant>
      <vt:variant>
        <vt:lpwstr>_Toc393704838</vt:lpwstr>
      </vt:variant>
      <vt:variant>
        <vt:i4>1966136</vt:i4>
      </vt:variant>
      <vt:variant>
        <vt:i4>20</vt:i4>
      </vt:variant>
      <vt:variant>
        <vt:i4>0</vt:i4>
      </vt:variant>
      <vt:variant>
        <vt:i4>5</vt:i4>
      </vt:variant>
      <vt:variant>
        <vt:lpwstr/>
      </vt:variant>
      <vt:variant>
        <vt:lpwstr>_Toc393704837</vt:lpwstr>
      </vt:variant>
      <vt:variant>
        <vt:i4>1966136</vt:i4>
      </vt:variant>
      <vt:variant>
        <vt:i4>14</vt:i4>
      </vt:variant>
      <vt:variant>
        <vt:i4>0</vt:i4>
      </vt:variant>
      <vt:variant>
        <vt:i4>5</vt:i4>
      </vt:variant>
      <vt:variant>
        <vt:lpwstr/>
      </vt:variant>
      <vt:variant>
        <vt:lpwstr>_Toc393704836</vt:lpwstr>
      </vt:variant>
      <vt:variant>
        <vt:i4>1966136</vt:i4>
      </vt:variant>
      <vt:variant>
        <vt:i4>8</vt:i4>
      </vt:variant>
      <vt:variant>
        <vt:i4>0</vt:i4>
      </vt:variant>
      <vt:variant>
        <vt:i4>5</vt:i4>
      </vt:variant>
      <vt:variant>
        <vt:lpwstr/>
      </vt:variant>
      <vt:variant>
        <vt:lpwstr>_Toc393704835</vt:lpwstr>
      </vt:variant>
      <vt:variant>
        <vt:i4>1966136</vt:i4>
      </vt:variant>
      <vt:variant>
        <vt:i4>2</vt:i4>
      </vt:variant>
      <vt:variant>
        <vt:i4>0</vt:i4>
      </vt:variant>
      <vt:variant>
        <vt:i4>5</vt:i4>
      </vt:variant>
      <vt:variant>
        <vt:lpwstr/>
      </vt:variant>
      <vt:variant>
        <vt:lpwstr>_Toc393704834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雷颖瑶</dc:creator>
  <cp:lastModifiedBy>陈红</cp:lastModifiedBy>
  <cp:revision>5</cp:revision>
  <dcterms:created xsi:type="dcterms:W3CDTF">2021-09-07T06:39:00Z</dcterms:created>
  <dcterms:modified xsi:type="dcterms:W3CDTF">2021-09-07T10:43:00Z</dcterms:modified>
</cp:coreProperties>
</file>