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易方达安心回馈混合型证券投资基金基金经理变更公告</w:t>
      </w:r>
    </w:p>
    <w:p w:rsidR="00070317" w:rsidRPr="00801D63" w:rsidRDefault="00070317" w:rsidP="00801D63">
      <w:pPr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801D63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公告送出日期：2021年9月8日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C6080C" w:rsidRPr="0000418A" w:rsidRDefault="006163B1" w:rsidP="00C6080C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C6080C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公告基本信息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C6080C" w:rsidRPr="00C6080C" w:rsidTr="004D1446">
        <w:trPr>
          <w:jc w:val="center"/>
        </w:trPr>
        <w:tc>
          <w:tcPr>
            <w:tcW w:w="4353" w:type="dxa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易方达安心回馈混合型证券投资基金</w:t>
            </w:r>
          </w:p>
        </w:tc>
      </w:tr>
      <w:tr w:rsidR="00C6080C" w:rsidRPr="00C6080C" w:rsidTr="004D1446">
        <w:trPr>
          <w:jc w:val="center"/>
        </w:trPr>
        <w:tc>
          <w:tcPr>
            <w:tcW w:w="4353" w:type="dxa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易方达安心回馈混合</w:t>
            </w:r>
          </w:p>
        </w:tc>
      </w:tr>
      <w:tr w:rsidR="00C6080C" w:rsidRPr="00C6080C" w:rsidTr="004D1446">
        <w:trPr>
          <w:jc w:val="center"/>
        </w:trPr>
        <w:tc>
          <w:tcPr>
            <w:tcW w:w="4353" w:type="dxa"/>
            <w:vAlign w:val="center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001182</w:t>
            </w:r>
          </w:p>
        </w:tc>
      </w:tr>
      <w:tr w:rsidR="00C6080C" w:rsidRPr="00C6080C" w:rsidTr="004D1446">
        <w:trPr>
          <w:jc w:val="center"/>
        </w:trPr>
        <w:tc>
          <w:tcPr>
            <w:tcW w:w="4353" w:type="dxa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易方达基金管理有限公司</w:t>
            </w:r>
          </w:p>
        </w:tc>
      </w:tr>
      <w:tr w:rsidR="00C6080C" w:rsidRPr="00C6080C" w:rsidTr="004D1446">
        <w:trPr>
          <w:jc w:val="center"/>
        </w:trPr>
        <w:tc>
          <w:tcPr>
            <w:tcW w:w="4353" w:type="dxa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《公开募集证券投资基金信息披露管理办法》《基金管理公司投资管理人员管理指导意见》《易方达安心回馈混合型证券投资基金基金合同》</w:t>
            </w:r>
          </w:p>
        </w:tc>
      </w:tr>
      <w:tr w:rsidR="00C6080C" w:rsidRPr="00C6080C" w:rsidTr="004D1446">
        <w:trPr>
          <w:jc w:val="center"/>
        </w:trPr>
        <w:tc>
          <w:tcPr>
            <w:tcW w:w="4353" w:type="dxa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增聘基金经理、解聘基金经理</w:t>
            </w:r>
          </w:p>
        </w:tc>
      </w:tr>
      <w:tr w:rsidR="003818E8">
        <w:trPr>
          <w:jc w:val="center"/>
        </w:trPr>
        <w:tc>
          <w:tcPr>
            <w:tcW w:w="4353" w:type="dxa"/>
            <w:vAlign w:val="center"/>
          </w:tcPr>
          <w:p w:rsidR="003818E8" w:rsidRDefault="00703E4A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新任基金经理姓名</w:t>
            </w:r>
          </w:p>
        </w:tc>
        <w:tc>
          <w:tcPr>
            <w:tcW w:w="5286" w:type="dxa"/>
            <w:vAlign w:val="center"/>
          </w:tcPr>
          <w:p w:rsidR="003818E8" w:rsidRDefault="00703E4A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林虎</w:t>
            </w:r>
          </w:p>
        </w:tc>
      </w:tr>
      <w:tr w:rsidR="003818E8">
        <w:trPr>
          <w:jc w:val="center"/>
        </w:trPr>
        <w:tc>
          <w:tcPr>
            <w:tcW w:w="4353" w:type="dxa"/>
            <w:vAlign w:val="center"/>
          </w:tcPr>
          <w:p w:rsidR="003818E8" w:rsidRDefault="00703E4A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3818E8" w:rsidRDefault="00703E4A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林森</w:t>
            </w:r>
          </w:p>
        </w:tc>
      </w:tr>
      <w:tr w:rsidR="003818E8">
        <w:trPr>
          <w:jc w:val="center"/>
        </w:trPr>
        <w:tc>
          <w:tcPr>
            <w:tcW w:w="4353" w:type="dxa"/>
            <w:vAlign w:val="center"/>
          </w:tcPr>
          <w:p w:rsidR="003818E8" w:rsidRDefault="00703E4A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3818E8" w:rsidRDefault="00703E4A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张清华</w:t>
            </w:r>
          </w:p>
        </w:tc>
      </w:tr>
    </w:tbl>
    <w:p w:rsidR="00070317" w:rsidRPr="0000418A" w:rsidRDefault="00070317" w:rsidP="00070317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9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新任基金经理的相关信息</w:t>
      </w:r>
      <w:bookmarkEnd w:id="0"/>
    </w:p>
    <w:tbl>
      <w:tblPr>
        <w:tblW w:w="9681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1559"/>
        <w:gridCol w:w="1843"/>
        <w:gridCol w:w="1701"/>
        <w:gridCol w:w="1905"/>
      </w:tblGrid>
      <w:tr w:rsidR="000E6F9C" w:rsidRPr="00404B1E" w:rsidTr="000E6F9C">
        <w:trPr>
          <w:jc w:val="center"/>
        </w:trPr>
        <w:tc>
          <w:tcPr>
            <w:tcW w:w="2673" w:type="dxa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新任基金经理姓名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林虎</w:t>
            </w:r>
          </w:p>
        </w:tc>
      </w:tr>
      <w:tr w:rsidR="000E6F9C" w:rsidRPr="00404B1E" w:rsidTr="000E6F9C">
        <w:trPr>
          <w:jc w:val="center"/>
        </w:trPr>
        <w:tc>
          <w:tcPr>
            <w:tcW w:w="2673" w:type="dxa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任职日期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2021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9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8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</w:tc>
      </w:tr>
      <w:tr w:rsidR="000E6F9C" w:rsidRPr="00404B1E" w:rsidTr="000E6F9C">
        <w:trPr>
          <w:jc w:val="center"/>
        </w:trPr>
        <w:tc>
          <w:tcPr>
            <w:tcW w:w="2673" w:type="dxa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证券从业年限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9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</w:p>
        </w:tc>
      </w:tr>
      <w:tr w:rsidR="000E6F9C" w:rsidRPr="00404B1E" w:rsidTr="000E6F9C">
        <w:trPr>
          <w:jc w:val="center"/>
        </w:trPr>
        <w:tc>
          <w:tcPr>
            <w:tcW w:w="2673" w:type="dxa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证券投资管理从业年限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9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</w:p>
        </w:tc>
      </w:tr>
      <w:tr w:rsidR="000E6F9C" w:rsidRPr="00404B1E" w:rsidTr="000E6F9C">
        <w:trPr>
          <w:jc w:val="center"/>
        </w:trPr>
        <w:tc>
          <w:tcPr>
            <w:tcW w:w="2673" w:type="dxa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过往从业经历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2012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7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月至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2014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月任宏源证券研究所固定收益分析师，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2014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月至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2015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9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月任国信证券研究所宏观分析师。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2015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9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月加入易方达基金管理有限公司，现任基金经理助理。</w:t>
            </w:r>
          </w:p>
        </w:tc>
      </w:tr>
      <w:tr w:rsidR="000E6F9C" w:rsidRPr="00404B1E" w:rsidTr="000E6F9C">
        <w:trPr>
          <w:jc w:val="center"/>
        </w:trPr>
        <w:tc>
          <w:tcPr>
            <w:tcW w:w="2673" w:type="dxa"/>
            <w:vMerge w:val="restart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其中：管理过公募基金的名称及期间</w:t>
            </w:r>
          </w:p>
        </w:tc>
        <w:tc>
          <w:tcPr>
            <w:tcW w:w="1559" w:type="dxa"/>
            <w:vAlign w:val="center"/>
          </w:tcPr>
          <w:p w:rsidR="000E6F9C" w:rsidRPr="00404B1E" w:rsidRDefault="000E6F9C" w:rsidP="000E6F9C">
            <w:pPr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基金</w:t>
            </w:r>
          </w:p>
          <w:p w:rsidR="000E6F9C" w:rsidRPr="00404B1E" w:rsidRDefault="000E6F9C" w:rsidP="000E6F9C">
            <w:pPr>
              <w:ind w:firstLineChars="150" w:firstLine="360"/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主代码</w:t>
            </w:r>
          </w:p>
        </w:tc>
        <w:tc>
          <w:tcPr>
            <w:tcW w:w="1843" w:type="dxa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基金名称</w:t>
            </w:r>
          </w:p>
        </w:tc>
        <w:tc>
          <w:tcPr>
            <w:tcW w:w="1701" w:type="dxa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任职日期</w:t>
            </w:r>
          </w:p>
        </w:tc>
        <w:tc>
          <w:tcPr>
            <w:tcW w:w="1905" w:type="dxa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离任日期</w:t>
            </w:r>
          </w:p>
        </w:tc>
      </w:tr>
      <w:tr w:rsidR="003818E8">
        <w:trPr>
          <w:jc w:val="center"/>
        </w:trPr>
        <w:tc>
          <w:tcPr>
            <w:tcW w:w="0" w:type="auto"/>
            <w:vMerge/>
          </w:tcPr>
          <w:p w:rsidR="003818E8" w:rsidRDefault="003818E8"/>
        </w:tc>
        <w:tc>
          <w:tcPr>
            <w:tcW w:w="0" w:type="auto"/>
            <w:vAlign w:val="center"/>
          </w:tcPr>
          <w:p w:rsidR="003818E8" w:rsidRDefault="00703E4A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3818E8" w:rsidRDefault="00703E4A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3818E8" w:rsidRDefault="00703E4A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3818E8" w:rsidRDefault="00703E4A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</w:tr>
      <w:tr w:rsidR="000E6F9C" w:rsidRPr="00404B1E" w:rsidTr="000E6F9C">
        <w:trPr>
          <w:jc w:val="center"/>
        </w:trPr>
        <w:tc>
          <w:tcPr>
            <w:tcW w:w="2673" w:type="dxa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是否曾被监管机构予以行政处罚或采取行政监管措施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否</w:t>
            </w:r>
          </w:p>
        </w:tc>
      </w:tr>
      <w:tr w:rsidR="000E6F9C" w:rsidRPr="00404B1E" w:rsidTr="000E6F9C">
        <w:trPr>
          <w:jc w:val="center"/>
        </w:trPr>
        <w:tc>
          <w:tcPr>
            <w:tcW w:w="2673" w:type="dxa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是否已取得基金从业资格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是</w:t>
            </w:r>
          </w:p>
        </w:tc>
      </w:tr>
      <w:tr w:rsidR="000E6F9C" w:rsidRPr="00404B1E" w:rsidTr="000E6F9C">
        <w:trPr>
          <w:jc w:val="center"/>
        </w:trPr>
        <w:tc>
          <w:tcPr>
            <w:tcW w:w="2673" w:type="dxa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取得的其他相关从业资格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</w:tr>
      <w:tr w:rsidR="000E6F9C" w:rsidRPr="00404B1E" w:rsidTr="000E6F9C">
        <w:trPr>
          <w:jc w:val="center"/>
        </w:trPr>
        <w:tc>
          <w:tcPr>
            <w:tcW w:w="2673" w:type="dxa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国籍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中国</w:t>
            </w:r>
          </w:p>
        </w:tc>
      </w:tr>
      <w:tr w:rsidR="000E6F9C" w:rsidRPr="00404B1E" w:rsidTr="000E6F9C">
        <w:trPr>
          <w:jc w:val="center"/>
        </w:trPr>
        <w:tc>
          <w:tcPr>
            <w:tcW w:w="2673" w:type="dxa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学历、学位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博士研究生、博士</w:t>
            </w:r>
          </w:p>
        </w:tc>
      </w:tr>
      <w:tr w:rsidR="000E6F9C" w:rsidRPr="00404B1E" w:rsidTr="000E6F9C">
        <w:trPr>
          <w:jc w:val="center"/>
        </w:trPr>
        <w:tc>
          <w:tcPr>
            <w:tcW w:w="2673" w:type="dxa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lastRenderedPageBreak/>
              <w:t>是否已按规定在中国基金业协会注册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2C06BE">
              <w:rPr>
                <w:rFonts w:eastAsiaTheme="minorEastAsia" w:hAnsiTheme="minorEastAsia"/>
                <w:sz w:val="24"/>
                <w:szCs w:val="24"/>
              </w:rPr>
              <w:t>登记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是</w:t>
            </w:r>
          </w:p>
        </w:tc>
      </w:tr>
    </w:tbl>
    <w:p w:rsidR="007E2FD8" w:rsidRPr="007E2FD8" w:rsidRDefault="00DE5519" w:rsidP="007E2FD8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10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离任基金经理的相关信息</w:t>
      </w:r>
      <w:bookmarkEnd w:id="1"/>
    </w:p>
    <w:tbl>
      <w:tblPr>
        <w:tblW w:w="9679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5267"/>
      </w:tblGrid>
      <w:tr w:rsidR="00070317" w:rsidRPr="0000418A" w:rsidTr="007E2FD8">
        <w:trPr>
          <w:jc w:val="center"/>
        </w:trPr>
        <w:tc>
          <w:tcPr>
            <w:tcW w:w="4412" w:type="dxa"/>
          </w:tcPr>
          <w:p w:rsidR="00070317" w:rsidRPr="007E2FD8" w:rsidRDefault="00070317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67" w:type="dxa"/>
            <w:vAlign w:val="center"/>
          </w:tcPr>
          <w:p w:rsidR="00070317" w:rsidRPr="007E2FD8" w:rsidRDefault="00DE5519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张清华</w:t>
            </w:r>
          </w:p>
        </w:tc>
      </w:tr>
      <w:tr w:rsidR="00070317" w:rsidRPr="0000418A" w:rsidTr="007E2FD8">
        <w:trPr>
          <w:jc w:val="center"/>
        </w:trPr>
        <w:tc>
          <w:tcPr>
            <w:tcW w:w="4412" w:type="dxa"/>
          </w:tcPr>
          <w:p w:rsidR="00070317" w:rsidRPr="007E2FD8" w:rsidRDefault="00070317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离任原因</w:t>
            </w:r>
          </w:p>
        </w:tc>
        <w:tc>
          <w:tcPr>
            <w:tcW w:w="5267" w:type="dxa"/>
            <w:vAlign w:val="center"/>
          </w:tcPr>
          <w:p w:rsidR="00070317" w:rsidRPr="007E2FD8" w:rsidRDefault="00DE5519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工作需要</w:t>
            </w:r>
          </w:p>
        </w:tc>
      </w:tr>
      <w:tr w:rsidR="00070317" w:rsidRPr="0000418A" w:rsidTr="007E2FD8">
        <w:trPr>
          <w:jc w:val="center"/>
        </w:trPr>
        <w:tc>
          <w:tcPr>
            <w:tcW w:w="4412" w:type="dxa"/>
          </w:tcPr>
          <w:p w:rsidR="00070317" w:rsidRPr="007E2FD8" w:rsidRDefault="00070317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离任日期</w:t>
            </w:r>
          </w:p>
        </w:tc>
        <w:tc>
          <w:tcPr>
            <w:tcW w:w="5267" w:type="dxa"/>
            <w:vAlign w:val="center"/>
          </w:tcPr>
          <w:p w:rsidR="00070317" w:rsidRPr="007E2FD8" w:rsidRDefault="00DE5519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2021</w:t>
            </w:r>
            <w:r w:rsidRPr="007E2FD8">
              <w:rPr>
                <w:rFonts w:eastAsiaTheme="minorEastAsia"/>
                <w:sz w:val="24"/>
                <w:szCs w:val="24"/>
              </w:rPr>
              <w:t>年</w:t>
            </w:r>
            <w:r w:rsidRPr="007E2FD8">
              <w:rPr>
                <w:rFonts w:eastAsiaTheme="minorEastAsia"/>
                <w:sz w:val="24"/>
                <w:szCs w:val="24"/>
              </w:rPr>
              <w:t>9</w:t>
            </w:r>
            <w:r w:rsidRPr="007E2FD8">
              <w:rPr>
                <w:rFonts w:eastAsiaTheme="minorEastAsia"/>
                <w:sz w:val="24"/>
                <w:szCs w:val="24"/>
              </w:rPr>
              <w:t>月</w:t>
            </w:r>
            <w:r w:rsidRPr="007E2FD8">
              <w:rPr>
                <w:rFonts w:eastAsiaTheme="minorEastAsia"/>
                <w:sz w:val="24"/>
                <w:szCs w:val="24"/>
              </w:rPr>
              <w:t>8</w:t>
            </w:r>
            <w:r w:rsidRPr="007E2FD8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070317" w:rsidRPr="0000418A" w:rsidTr="007E2FD8">
        <w:trPr>
          <w:jc w:val="center"/>
        </w:trPr>
        <w:tc>
          <w:tcPr>
            <w:tcW w:w="4412" w:type="dxa"/>
          </w:tcPr>
          <w:p w:rsidR="00070317" w:rsidRPr="007E2FD8" w:rsidRDefault="00070317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转任本公司其他工作岗位的说明</w:t>
            </w:r>
          </w:p>
        </w:tc>
        <w:tc>
          <w:tcPr>
            <w:tcW w:w="5267" w:type="dxa"/>
            <w:vAlign w:val="center"/>
          </w:tcPr>
          <w:p w:rsidR="00070317" w:rsidRPr="007E2FD8" w:rsidRDefault="00DE5519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070317" w:rsidRPr="0000418A" w:rsidTr="007E2FD8">
        <w:trPr>
          <w:jc w:val="center"/>
        </w:trPr>
        <w:tc>
          <w:tcPr>
            <w:tcW w:w="4412" w:type="dxa"/>
          </w:tcPr>
          <w:p w:rsidR="00070317" w:rsidRPr="007E2FD8" w:rsidRDefault="00BE7AA2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是否已按规定在中国基金</w:t>
            </w:r>
            <w:r w:rsidR="00070317" w:rsidRPr="007E2FD8">
              <w:rPr>
                <w:rFonts w:eastAsiaTheme="minorEastAsia"/>
                <w:sz w:val="24"/>
                <w:szCs w:val="24"/>
              </w:rPr>
              <w:t>业协会办理变更手续</w:t>
            </w:r>
          </w:p>
        </w:tc>
        <w:tc>
          <w:tcPr>
            <w:tcW w:w="5267" w:type="dxa"/>
            <w:vAlign w:val="center"/>
          </w:tcPr>
          <w:p w:rsidR="00070317" w:rsidRPr="007E2FD8" w:rsidRDefault="00DE5519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是</w:t>
            </w:r>
          </w:p>
        </w:tc>
      </w:tr>
    </w:tbl>
    <w:p w:rsidR="00070317" w:rsidRPr="00E80921" w:rsidRDefault="0070712F" w:rsidP="00E80921">
      <w:pPr>
        <w:rPr>
          <w:rFonts w:eastAsia="宋体"/>
          <w:color w:val="000000"/>
          <w:sz w:val="24"/>
          <w:szCs w:val="24"/>
        </w:rPr>
      </w:pPr>
      <w:r w:rsidRPr="00E80921">
        <w:rPr>
          <w:rFonts w:eastAsia="宋体"/>
          <w:color w:val="000000"/>
          <w:sz w:val="24"/>
          <w:szCs w:val="24"/>
        </w:rPr>
        <w:t>注：张清华仍担任易方达基金管理有限公司基金经理、副总经理级高级管理人员、多资产投资业务总部总经理、固定收益投资决策委员会委员。</w:t>
      </w:r>
    </w:p>
    <w:p w:rsidR="00E80921" w:rsidRPr="00C26123" w:rsidRDefault="00E80921" w:rsidP="00E80921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bookmarkStart w:id="2" w:name="_GoBack"/>
      <w:bookmarkEnd w:id="2"/>
    </w:p>
    <w:p w:rsidR="00E72701" w:rsidRDefault="00E72701" w:rsidP="00E72701">
      <w:pPr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 w:rsidRPr="003E1F7C">
        <w:rPr>
          <w:rFonts w:ascii="宋体" w:hAnsi="宋体" w:hint="eastAsia"/>
          <w:color w:val="000000"/>
          <w:sz w:val="24"/>
          <w:szCs w:val="24"/>
        </w:rPr>
        <w:t>特此公告。</w:t>
      </w:r>
    </w:p>
    <w:p w:rsidR="00E80921" w:rsidRDefault="00E80921" w:rsidP="00E80921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</w:t>
      </w:r>
      <w:r w:rsidRPr="003E1F7C">
        <w:rPr>
          <w:rFonts w:ascii="宋体" w:hAnsi="宋体" w:hint="eastAsia"/>
          <w:color w:val="000000"/>
          <w:sz w:val="24"/>
          <w:szCs w:val="24"/>
        </w:rPr>
        <w:t>易方达基金管理有限公司</w:t>
      </w:r>
    </w:p>
    <w:p w:rsidR="00E80921" w:rsidRPr="0000418A" w:rsidRDefault="00E80921" w:rsidP="00801D63">
      <w:pPr>
        <w:spacing w:line="360" w:lineRule="auto"/>
        <w:ind w:leftChars="-100" w:left="-320" w:firstLineChars="35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   </w:t>
      </w:r>
      <w:r w:rsidRPr="00676EBF">
        <w:rPr>
          <w:rFonts w:asciiTheme="minorEastAsia" w:eastAsiaTheme="minorEastAsia" w:hAnsiTheme="minorEastAsia"/>
          <w:color w:val="000000"/>
          <w:sz w:val="24"/>
          <w:szCs w:val="24"/>
        </w:rPr>
        <w:t>2021年9月8日</w:t>
      </w:r>
    </w:p>
    <w:sectPr w:rsidR="00E80921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E4A" w:rsidRDefault="00703E4A" w:rsidP="00070317">
      <w:r>
        <w:separator/>
      </w:r>
    </w:p>
  </w:endnote>
  <w:endnote w:type="continuationSeparator" w:id="0">
    <w:p w:rsidR="00703E4A" w:rsidRDefault="00703E4A" w:rsidP="0007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E4A" w:rsidRDefault="00703E4A" w:rsidP="00070317">
      <w:r>
        <w:separator/>
      </w:r>
    </w:p>
  </w:footnote>
  <w:footnote w:type="continuationSeparator" w:id="0">
    <w:p w:rsidR="00703E4A" w:rsidRDefault="00703E4A" w:rsidP="0007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17"/>
    <w:rsid w:val="0000418A"/>
    <w:rsid w:val="000071CE"/>
    <w:rsid w:val="0002358F"/>
    <w:rsid w:val="00031AB4"/>
    <w:rsid w:val="00033B07"/>
    <w:rsid w:val="00041353"/>
    <w:rsid w:val="00042A21"/>
    <w:rsid w:val="00070317"/>
    <w:rsid w:val="000B3D47"/>
    <w:rsid w:val="000C18B3"/>
    <w:rsid w:val="000D6628"/>
    <w:rsid w:val="000E6F9C"/>
    <w:rsid w:val="00111BD0"/>
    <w:rsid w:val="00142DAF"/>
    <w:rsid w:val="00142E54"/>
    <w:rsid w:val="00156475"/>
    <w:rsid w:val="0018138F"/>
    <w:rsid w:val="001B2DB9"/>
    <w:rsid w:val="001D14B7"/>
    <w:rsid w:val="001F622D"/>
    <w:rsid w:val="00207AA8"/>
    <w:rsid w:val="00213BDC"/>
    <w:rsid w:val="00213F59"/>
    <w:rsid w:val="00285743"/>
    <w:rsid w:val="002A51E8"/>
    <w:rsid w:val="002C06BE"/>
    <w:rsid w:val="002E6C8D"/>
    <w:rsid w:val="00306525"/>
    <w:rsid w:val="00306AAE"/>
    <w:rsid w:val="0032019E"/>
    <w:rsid w:val="0033552A"/>
    <w:rsid w:val="00375EE6"/>
    <w:rsid w:val="003818E8"/>
    <w:rsid w:val="00404B1E"/>
    <w:rsid w:val="00412A37"/>
    <w:rsid w:val="004414AB"/>
    <w:rsid w:val="00456D89"/>
    <w:rsid w:val="00483DDC"/>
    <w:rsid w:val="004966BA"/>
    <w:rsid w:val="004B3F81"/>
    <w:rsid w:val="004D01DF"/>
    <w:rsid w:val="004E10AB"/>
    <w:rsid w:val="0052318A"/>
    <w:rsid w:val="00536CF6"/>
    <w:rsid w:val="0053712A"/>
    <w:rsid w:val="0054154D"/>
    <w:rsid w:val="00547962"/>
    <w:rsid w:val="00566B55"/>
    <w:rsid w:val="00596F7A"/>
    <w:rsid w:val="005975BB"/>
    <w:rsid w:val="005B28C6"/>
    <w:rsid w:val="005B39B4"/>
    <w:rsid w:val="005C1B03"/>
    <w:rsid w:val="005E6555"/>
    <w:rsid w:val="005F3560"/>
    <w:rsid w:val="006113F1"/>
    <w:rsid w:val="006152A9"/>
    <w:rsid w:val="006163B1"/>
    <w:rsid w:val="0062601A"/>
    <w:rsid w:val="006340ED"/>
    <w:rsid w:val="0066795D"/>
    <w:rsid w:val="00672C20"/>
    <w:rsid w:val="006A5D36"/>
    <w:rsid w:val="006C7CF1"/>
    <w:rsid w:val="006C7FDB"/>
    <w:rsid w:val="006F225C"/>
    <w:rsid w:val="006F43D8"/>
    <w:rsid w:val="006F4CAF"/>
    <w:rsid w:val="00703E4A"/>
    <w:rsid w:val="0070712F"/>
    <w:rsid w:val="007179FB"/>
    <w:rsid w:val="00731DEC"/>
    <w:rsid w:val="007C54E2"/>
    <w:rsid w:val="007E2FD8"/>
    <w:rsid w:val="00801D63"/>
    <w:rsid w:val="00803A3A"/>
    <w:rsid w:val="00807FC2"/>
    <w:rsid w:val="00872E95"/>
    <w:rsid w:val="0087717F"/>
    <w:rsid w:val="008F0ACC"/>
    <w:rsid w:val="00966B40"/>
    <w:rsid w:val="009D65C6"/>
    <w:rsid w:val="009E3ABA"/>
    <w:rsid w:val="009E69A9"/>
    <w:rsid w:val="009F783B"/>
    <w:rsid w:val="00A22C61"/>
    <w:rsid w:val="00A507E1"/>
    <w:rsid w:val="00A61621"/>
    <w:rsid w:val="00A63D9B"/>
    <w:rsid w:val="00A66507"/>
    <w:rsid w:val="00AA5074"/>
    <w:rsid w:val="00B03319"/>
    <w:rsid w:val="00B27750"/>
    <w:rsid w:val="00B96712"/>
    <w:rsid w:val="00BE716F"/>
    <w:rsid w:val="00BE7AA2"/>
    <w:rsid w:val="00C26123"/>
    <w:rsid w:val="00C6080C"/>
    <w:rsid w:val="00C911F2"/>
    <w:rsid w:val="00CE6E56"/>
    <w:rsid w:val="00CF42C0"/>
    <w:rsid w:val="00D047E3"/>
    <w:rsid w:val="00D21C32"/>
    <w:rsid w:val="00D30AF1"/>
    <w:rsid w:val="00D64B1C"/>
    <w:rsid w:val="00DD624E"/>
    <w:rsid w:val="00DE5519"/>
    <w:rsid w:val="00E0346F"/>
    <w:rsid w:val="00E24A56"/>
    <w:rsid w:val="00E276FF"/>
    <w:rsid w:val="00E33112"/>
    <w:rsid w:val="00E435FE"/>
    <w:rsid w:val="00E72701"/>
    <w:rsid w:val="00E80921"/>
    <w:rsid w:val="00E857A8"/>
    <w:rsid w:val="00EB0ADE"/>
    <w:rsid w:val="00ED0ADF"/>
    <w:rsid w:val="00EE1199"/>
    <w:rsid w:val="00F7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F04D38-EF04-456A-BB28-6DFA1A56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128</Words>
  <Characters>732</Characters>
  <Application>Microsoft Office Word</Application>
  <DocSecurity>0</DocSecurity>
  <Lines>6</Lines>
  <Paragraphs>1</Paragraphs>
  <ScaleCrop>false</ScaleCrop>
  <Company>微软中国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康玉冰</cp:lastModifiedBy>
  <cp:revision>57</cp:revision>
  <dcterms:created xsi:type="dcterms:W3CDTF">2013-07-24T01:28:00Z</dcterms:created>
  <dcterms:modified xsi:type="dcterms:W3CDTF">2021-09-07T02:07:00Z</dcterms:modified>
</cp:coreProperties>
</file>