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仿宋" w:hAnsi="仿宋" w:eastAsia="仿宋" w:cs="仿宋_GB2312"/>
          <w:kern w:val="0"/>
          <w:sz w:val="36"/>
          <w:szCs w:val="36"/>
        </w:rPr>
      </w:pPr>
    </w:p>
    <w:p>
      <w:pPr>
        <w:autoSpaceDE w:val="0"/>
        <w:autoSpaceDN w:val="0"/>
        <w:adjustRightInd w:val="0"/>
        <w:jc w:val="center"/>
        <w:rPr>
          <w:rFonts w:ascii="仿宋" w:hAnsi="仿宋" w:eastAsia="仿宋" w:cs="仿宋_GB2312"/>
          <w:kern w:val="0"/>
          <w:sz w:val="36"/>
          <w:szCs w:val="36"/>
        </w:rPr>
      </w:pPr>
      <w:r>
        <w:rPr>
          <w:rFonts w:hint="eastAsia" w:ascii="仿宋" w:hAnsi="仿宋" w:eastAsia="仿宋" w:cs="仿宋_GB2312"/>
          <w:kern w:val="0"/>
          <w:sz w:val="36"/>
          <w:szCs w:val="36"/>
        </w:rPr>
        <w:t>广发景裕纯债债券型证券投资基金（广发景裕纯债A）基金产品资料概要</w:t>
      </w:r>
    </w:p>
    <w:p>
      <w:pPr>
        <w:autoSpaceDE w:val="0"/>
        <w:autoSpaceDN w:val="0"/>
        <w:adjustRightInd w:val="0"/>
        <w:jc w:val="right"/>
        <w:rPr>
          <w:rFonts w:ascii="仿宋" w:hAnsi="仿宋" w:eastAsia="仿宋" w:cs="方正仿宋简体"/>
          <w:iCs/>
          <w:sz w:val="24"/>
          <w:szCs w:val="24"/>
        </w:rPr>
      </w:pPr>
      <w:r>
        <w:rPr>
          <w:rFonts w:hint="eastAsia" w:ascii="仿宋" w:hAnsi="仿宋" w:eastAsia="仿宋" w:cs="方正仿宋简体"/>
          <w:iCs/>
          <w:sz w:val="24"/>
          <w:szCs w:val="24"/>
        </w:rPr>
        <w:t>编制日期：2024年10月29日</w:t>
      </w:r>
    </w:p>
    <w:p>
      <w:pPr>
        <w:autoSpaceDE w:val="0"/>
        <w:autoSpaceDN w:val="0"/>
        <w:adjustRightInd w:val="0"/>
        <w:ind w:left="5460"/>
        <w:jc w:val="center"/>
        <w:rPr>
          <w:rFonts w:ascii="仿宋" w:hAnsi="仿宋" w:eastAsia="仿宋" w:cs="方正仿宋简体"/>
          <w:iCs/>
          <w:sz w:val="24"/>
          <w:szCs w:val="24"/>
        </w:rPr>
      </w:pPr>
      <w:r>
        <w:rPr>
          <w:rFonts w:hint="eastAsia" w:ascii="仿宋" w:hAnsi="仿宋" w:eastAsia="仿宋" w:cs="方正仿宋简体"/>
          <w:iCs/>
          <w:sz w:val="24"/>
          <w:szCs w:val="24"/>
        </w:rPr>
        <w:t>送出日期：2024年11月4日</w:t>
      </w:r>
    </w:p>
    <w:p>
      <w:pPr>
        <w:autoSpaceDE w:val="0"/>
        <w:autoSpaceDN w:val="0"/>
        <w:adjustRightInd w:val="0"/>
        <w:spacing w:line="380" w:lineRule="exact"/>
        <w:jc w:val="left"/>
        <w:rPr>
          <w:rFonts w:ascii="仿宋" w:hAnsi="仿宋" w:eastAsia="仿宋" w:cs="黑体"/>
          <w:kern w:val="0"/>
          <w:sz w:val="24"/>
          <w:szCs w:val="24"/>
        </w:rPr>
      </w:pPr>
      <w:r>
        <w:rPr>
          <w:rFonts w:hint="eastAsia" w:ascii="仿宋" w:hAnsi="仿宋" w:eastAsia="仿宋" w:cs="黑体"/>
          <w:kern w:val="0"/>
          <w:sz w:val="24"/>
          <w:szCs w:val="24"/>
        </w:rPr>
        <w:t>本概要提供本基金的重要信息，是招募说明书的一部分。</w:t>
      </w:r>
    </w:p>
    <w:p>
      <w:pPr>
        <w:autoSpaceDE w:val="0"/>
        <w:autoSpaceDN w:val="0"/>
        <w:adjustRightInd w:val="0"/>
        <w:spacing w:line="380" w:lineRule="exact"/>
        <w:jc w:val="left"/>
        <w:rPr>
          <w:rFonts w:ascii="仿宋" w:hAnsi="仿宋" w:eastAsia="仿宋" w:cs="黑体"/>
          <w:kern w:val="0"/>
          <w:sz w:val="24"/>
          <w:szCs w:val="24"/>
        </w:rPr>
      </w:pPr>
      <w:r>
        <w:rPr>
          <w:rFonts w:hint="eastAsia" w:ascii="仿宋" w:hAnsi="仿宋" w:eastAsia="仿宋" w:cs="黑体"/>
          <w:kern w:val="0"/>
          <w:sz w:val="24"/>
          <w:szCs w:val="24"/>
        </w:rPr>
        <w:t>作出投资决定前，请阅读完整的招募说明书等销售文件。</w:t>
      </w:r>
    </w:p>
    <w:p>
      <w:pPr>
        <w:autoSpaceDE w:val="0"/>
        <w:autoSpaceDN w:val="0"/>
        <w:adjustRightInd w:val="0"/>
        <w:spacing w:line="380" w:lineRule="exact"/>
        <w:jc w:val="left"/>
        <w:rPr>
          <w:rFonts w:ascii="仿宋" w:hAnsi="仿宋" w:eastAsia="仿宋" w:cs="黑体"/>
          <w:kern w:val="0"/>
          <w:sz w:val="32"/>
          <w:szCs w:val="32"/>
        </w:rPr>
      </w:pPr>
    </w:p>
    <w:p>
      <w:pPr>
        <w:numPr>
          <w:ilvl w:val="0"/>
          <w:numId w:val="2"/>
        </w:numPr>
        <w:spacing w:line="280" w:lineRule="exact"/>
        <w:outlineLvl w:val="0"/>
        <w:rPr>
          <w:rFonts w:ascii="仿宋" w:hAnsi="仿宋" w:eastAsia="仿宋" w:cs="方正仿宋简体"/>
          <w:b/>
          <w:iCs/>
          <w:sz w:val="24"/>
          <w:szCs w:val="24"/>
        </w:rPr>
      </w:pPr>
      <w:r>
        <w:rPr>
          <w:rFonts w:hint="eastAsia" w:ascii="仿宋" w:hAnsi="仿宋" w:eastAsia="仿宋" w:cs="方正仿宋简体"/>
          <w:b/>
          <w:iCs/>
          <w:sz w:val="24"/>
          <w:szCs w:val="24"/>
        </w:rPr>
        <w:t>产品概况</w:t>
      </w:r>
    </w:p>
    <w:tbl>
      <w:tblPr>
        <w:tblStyle w:val="8"/>
        <w:tblW w:w="5000" w:type="pct"/>
        <w:tblInd w:w="0" w:type="dxa"/>
        <w:tblBorders>
          <w:top w:val="single" w:color="auto" w:sz="4" w:space="0"/>
          <w:left w:val="none" w:color="auto" w:sz="0" w:space="0"/>
          <w:bottom w:val="single" w:color="auto" w:sz="4" w:space="0"/>
          <w:right w:val="none" w:color="auto" w:sz="0" w:space="0"/>
          <w:insideH w:val="dashSmallGap" w:color="A5A5A5" w:themeColor="background1" w:themeShade="A6" w:sz="4" w:space="0"/>
          <w:insideV w:val="none" w:color="auto" w:sz="0" w:space="0"/>
        </w:tblBorders>
        <w:tblLayout w:type="fixed"/>
        <w:tblCellMar>
          <w:top w:w="0" w:type="dxa"/>
          <w:left w:w="108" w:type="dxa"/>
          <w:bottom w:w="0" w:type="dxa"/>
          <w:right w:w="108" w:type="dxa"/>
        </w:tblCellMar>
      </w:tblPr>
      <w:tblGrid>
        <w:gridCol w:w="1952"/>
        <w:gridCol w:w="2408"/>
        <w:gridCol w:w="1703"/>
        <w:gridCol w:w="2459"/>
      </w:tblGrid>
      <w:tr>
        <w:tblPrEx>
          <w:tblBorders>
            <w:top w:val="single" w:color="auto" w:sz="4" w:space="0"/>
            <w:left w:val="none" w:color="auto" w:sz="0" w:space="0"/>
            <w:bottom w:val="single" w:color="auto" w:sz="4" w:space="0"/>
            <w:right w:val="none" w:color="auto" w:sz="0" w:space="0"/>
            <w:insideH w:val="dashSmallGap" w:color="A5A5A5" w:themeColor="background1" w:themeShade="A6" w:sz="4" w:space="0"/>
            <w:insideV w:val="none" w:color="auto" w:sz="0" w:space="0"/>
          </w:tblBorders>
          <w:tblCellMar>
            <w:top w:w="0" w:type="dxa"/>
            <w:left w:w="108" w:type="dxa"/>
            <w:bottom w:w="0" w:type="dxa"/>
            <w:right w:w="108" w:type="dxa"/>
          </w:tblCellMar>
        </w:tblPrEx>
        <w:trPr>
          <w:trHeight w:val="454" w:hRule="atLeast"/>
        </w:trPr>
        <w:tc>
          <w:tcPr>
            <w:tcW w:w="1145" w:type="pct"/>
            <w:vMerge w:val="restart"/>
            <w:vAlign w:val="center"/>
          </w:tcPr>
          <w:p>
            <w:pPr>
              <w:spacing w:line="280" w:lineRule="exact"/>
              <w:rPr>
                <w:rFonts w:ascii="仿宋" w:hAnsi="仿宋" w:eastAsia="仿宋" w:cs="方正仿宋简体"/>
                <w:b/>
                <w:iCs/>
              </w:rPr>
            </w:pPr>
            <w:r>
              <w:rPr>
                <w:rFonts w:hint="eastAsia" w:ascii="仿宋" w:hAnsi="仿宋" w:eastAsia="仿宋" w:cs="方正仿宋简体"/>
                <w:b/>
                <w:iCs/>
              </w:rPr>
              <w:t>基金简称</w:t>
            </w:r>
          </w:p>
        </w:tc>
        <w:tc>
          <w:tcPr>
            <w:tcW w:w="1413" w:type="pct"/>
            <w:vMerge w:val="restart"/>
            <w:vAlign w:val="center"/>
          </w:tcPr>
          <w:p>
            <w:pPr>
              <w:spacing w:line="280" w:lineRule="exact"/>
              <w:rPr>
                <w:rFonts w:ascii="仿宋" w:hAnsi="仿宋" w:eastAsia="仿宋" w:cs="方正仿宋简体"/>
                <w:iCs/>
              </w:rPr>
            </w:pPr>
            <w:r>
              <w:rPr>
                <w:rFonts w:hint="eastAsia" w:ascii="仿宋" w:hAnsi="仿宋" w:eastAsia="仿宋" w:cs="方正仿宋简体"/>
                <w:iCs/>
              </w:rPr>
              <w:t>广发景裕纯债</w:t>
            </w:r>
          </w:p>
        </w:tc>
        <w:tc>
          <w:tcPr>
            <w:tcW w:w="999" w:type="pct"/>
            <w:vMerge w:val="restart"/>
            <w:vAlign w:val="center"/>
          </w:tcPr>
          <w:p>
            <w:pPr>
              <w:spacing w:line="280" w:lineRule="exact"/>
              <w:rPr>
                <w:rFonts w:ascii="仿宋" w:hAnsi="仿宋" w:eastAsia="仿宋" w:cs="方正仿宋简体"/>
                <w:b/>
                <w:iCs/>
              </w:rPr>
            </w:pPr>
            <w:r>
              <w:rPr>
                <w:rFonts w:hint="eastAsia" w:ascii="仿宋" w:hAnsi="仿宋" w:eastAsia="仿宋" w:cs="方正仿宋简体"/>
                <w:b/>
                <w:iCs/>
              </w:rPr>
              <w:t>基金代码</w:t>
            </w:r>
          </w:p>
        </w:tc>
        <w:tc>
          <w:tcPr>
            <w:tcW w:w="1443" w:type="pct"/>
            <w:tcBorders>
              <w:bottom w:val="dashSmallGap" w:color="A5A5A5" w:themeColor="background1" w:themeShade="A6" w:sz="4" w:space="0"/>
            </w:tcBorders>
            <w:vAlign w:val="center"/>
          </w:tcPr>
          <w:p>
            <w:pPr>
              <w:spacing w:line="280" w:lineRule="exact"/>
              <w:rPr>
                <w:rFonts w:ascii="仿宋" w:hAnsi="仿宋" w:eastAsia="仿宋" w:cs="方正仿宋简体"/>
                <w:iCs/>
              </w:rPr>
            </w:pPr>
            <w:r>
              <w:rPr>
                <w:rFonts w:hint="eastAsia" w:ascii="仿宋" w:hAnsi="仿宋" w:eastAsia="仿宋" w:cs="方正仿宋简体"/>
                <w:iCs/>
              </w:rPr>
              <w:t>021552</w:t>
            </w:r>
          </w:p>
        </w:tc>
      </w:tr>
      <w:tr>
        <w:tblPrEx>
          <w:tblBorders>
            <w:top w:val="single" w:color="auto" w:sz="4" w:space="0"/>
            <w:left w:val="none" w:color="auto" w:sz="0" w:space="0"/>
            <w:bottom w:val="single" w:color="auto" w:sz="4" w:space="0"/>
            <w:right w:val="none" w:color="auto" w:sz="0" w:space="0"/>
            <w:insideH w:val="dashSmallGap" w:color="A5A5A5" w:themeColor="background1" w:themeShade="A6" w:sz="4" w:space="0"/>
            <w:insideV w:val="none" w:color="auto" w:sz="0" w:space="0"/>
          </w:tblBorders>
          <w:tblCellMar>
            <w:top w:w="0" w:type="dxa"/>
            <w:left w:w="108" w:type="dxa"/>
            <w:bottom w:w="0" w:type="dxa"/>
            <w:right w:w="108" w:type="dxa"/>
          </w:tblCellMar>
        </w:tblPrEx>
        <w:trPr>
          <w:trHeight w:val="150" w:hRule="atLeast"/>
        </w:trPr>
        <w:tc>
          <w:tcPr>
            <w:tcW w:w="1145" w:type="pct"/>
            <w:vMerge w:val="restart"/>
            <w:vAlign w:val="center"/>
          </w:tcPr>
          <w:p>
            <w:pPr>
              <w:spacing w:line="280" w:lineRule="exact"/>
              <w:rPr>
                <w:rFonts w:ascii="仿宋" w:hAnsi="仿宋" w:eastAsia="仿宋" w:cs="方正仿宋简体"/>
                <w:b/>
                <w:iCs/>
              </w:rPr>
            </w:pPr>
            <w:r>
              <w:rPr>
                <w:rFonts w:hint="eastAsia" w:ascii="仿宋" w:hAnsi="仿宋" w:eastAsia="仿宋" w:cs="方正仿宋简体"/>
                <w:b/>
                <w:iCs/>
              </w:rPr>
              <w:t>下属基金简称</w:t>
            </w:r>
          </w:p>
        </w:tc>
        <w:tc>
          <w:tcPr>
            <w:tcW w:w="1413" w:type="pct"/>
            <w:vMerge w:val="restart"/>
            <w:tcBorders>
              <w:top w:val="dashSmallGap" w:color="A5A5A5" w:themeColor="background1" w:themeShade="A6" w:sz="4" w:space="0"/>
              <w:bottom w:val="dashSmallGap" w:color="A5A5A5" w:themeColor="background1" w:themeShade="A6" w:sz="4" w:space="0"/>
            </w:tcBorders>
            <w:vAlign w:val="center"/>
          </w:tcPr>
          <w:p>
            <w:pPr>
              <w:spacing w:line="280" w:lineRule="exact"/>
              <w:rPr>
                <w:rFonts w:ascii="仿宋" w:hAnsi="仿宋" w:eastAsia="仿宋" w:cs="方正仿宋简体"/>
                <w:iCs/>
              </w:rPr>
            </w:pPr>
            <w:r>
              <w:rPr>
                <w:rFonts w:ascii="仿宋" w:hAnsi="仿宋" w:eastAsia="仿宋" w:cs="方正仿宋简体"/>
                <w:iCs/>
              </w:rPr>
              <w:t>广发景裕纯债A</w:t>
            </w:r>
          </w:p>
        </w:tc>
        <w:tc>
          <w:tcPr>
            <w:tcW w:w="999" w:type="pct"/>
            <w:vMerge w:val="restart"/>
            <w:tcBorders>
              <w:top w:val="dashSmallGap" w:color="A5A5A5" w:themeColor="background1" w:themeShade="A6" w:sz="4" w:space="0"/>
            </w:tcBorders>
            <w:vAlign w:val="center"/>
          </w:tcPr>
          <w:p>
            <w:pPr>
              <w:spacing w:line="280" w:lineRule="exact"/>
              <w:rPr>
                <w:rFonts w:ascii="仿宋" w:hAnsi="仿宋" w:eastAsia="仿宋" w:cs="方正仿宋简体"/>
                <w:b/>
                <w:iCs/>
              </w:rPr>
            </w:pPr>
            <w:r>
              <w:rPr>
                <w:rFonts w:hint="eastAsia" w:ascii="仿宋" w:hAnsi="仿宋" w:eastAsia="仿宋" w:cs="方正仿宋简体"/>
                <w:b/>
                <w:iCs/>
              </w:rPr>
              <w:t>下属基金代码</w:t>
            </w:r>
          </w:p>
        </w:tc>
        <w:tc>
          <w:tcPr>
            <w:tcW w:w="1443" w:type="pct"/>
            <w:tcBorders>
              <w:top w:val="dashSmallGap" w:color="A5A5A5" w:themeColor="background1" w:themeShade="A6" w:sz="4" w:space="0"/>
              <w:bottom w:val="dashSmallGap" w:color="A5A5A5" w:themeColor="background1" w:themeShade="A6" w:sz="4" w:space="0"/>
            </w:tcBorders>
            <w:vAlign w:val="center"/>
          </w:tcPr>
          <w:p>
            <w:pPr>
              <w:spacing w:line="280" w:lineRule="exact"/>
              <w:rPr>
                <w:rFonts w:ascii="仿宋" w:hAnsi="仿宋" w:eastAsia="仿宋" w:cs="方正仿宋简体"/>
                <w:iCs/>
              </w:rPr>
            </w:pPr>
            <w:r>
              <w:rPr>
                <w:rFonts w:hint="eastAsia" w:ascii="仿宋" w:hAnsi="仿宋" w:eastAsia="仿宋" w:cs="方正仿宋简体"/>
                <w:iCs/>
              </w:rPr>
              <w:t>021552</w:t>
            </w:r>
          </w:p>
        </w:tc>
      </w:tr>
      <w:tr>
        <w:tblPrEx>
          <w:tblBorders>
            <w:top w:val="single" w:color="auto" w:sz="4" w:space="0"/>
            <w:left w:val="none" w:color="auto" w:sz="0" w:space="0"/>
            <w:bottom w:val="single" w:color="auto" w:sz="4" w:space="0"/>
            <w:right w:val="none" w:color="auto" w:sz="0" w:space="0"/>
            <w:insideH w:val="dashSmallGap" w:color="A5A5A5" w:themeColor="background1" w:themeShade="A6" w:sz="4" w:space="0"/>
            <w:insideV w:val="none" w:color="auto" w:sz="0" w:space="0"/>
          </w:tblBorders>
          <w:tblCellMar>
            <w:top w:w="0" w:type="dxa"/>
            <w:left w:w="108" w:type="dxa"/>
            <w:bottom w:w="0" w:type="dxa"/>
            <w:right w:w="108" w:type="dxa"/>
          </w:tblCellMar>
        </w:tblPrEx>
        <w:trPr>
          <w:trHeight w:val="454" w:hRule="atLeast"/>
        </w:trPr>
        <w:tc>
          <w:tcPr>
            <w:tcW w:w="1145" w:type="pct"/>
            <w:vAlign w:val="center"/>
          </w:tcPr>
          <w:p>
            <w:pPr>
              <w:spacing w:line="280" w:lineRule="exact"/>
              <w:rPr>
                <w:rFonts w:ascii="仿宋" w:hAnsi="仿宋" w:eastAsia="仿宋" w:cs="方正仿宋简体"/>
                <w:b/>
                <w:iCs/>
              </w:rPr>
            </w:pPr>
            <w:r>
              <w:rPr>
                <w:rFonts w:hint="eastAsia" w:ascii="仿宋" w:hAnsi="仿宋" w:eastAsia="仿宋" w:cs="方正仿宋简体"/>
                <w:b/>
                <w:iCs/>
              </w:rPr>
              <w:t>基金管理人</w:t>
            </w:r>
          </w:p>
        </w:tc>
        <w:tc>
          <w:tcPr>
            <w:tcW w:w="1413" w:type="pct"/>
            <w:tcBorders>
              <w:top w:val="dashSmallGap" w:color="A5A5A5" w:themeColor="background1" w:themeShade="A6" w:sz="4" w:space="0"/>
            </w:tcBorders>
            <w:vAlign w:val="center"/>
          </w:tcPr>
          <w:p>
            <w:pPr>
              <w:spacing w:line="280" w:lineRule="exact"/>
              <w:rPr>
                <w:rFonts w:ascii="仿宋" w:hAnsi="仿宋" w:eastAsia="仿宋" w:cs="方正仿宋简体"/>
                <w:iCs/>
              </w:rPr>
            </w:pPr>
            <w:r>
              <w:rPr>
                <w:rFonts w:hint="eastAsia" w:ascii="仿宋" w:hAnsi="仿宋" w:eastAsia="仿宋" w:cs="方正仿宋简体"/>
                <w:iCs/>
              </w:rPr>
              <w:t>广发基金管理有限公司</w:t>
            </w:r>
          </w:p>
        </w:tc>
        <w:tc>
          <w:tcPr>
            <w:tcW w:w="999" w:type="pct"/>
            <w:vAlign w:val="center"/>
          </w:tcPr>
          <w:p>
            <w:pPr>
              <w:spacing w:line="280" w:lineRule="exact"/>
              <w:rPr>
                <w:rFonts w:ascii="仿宋" w:hAnsi="仿宋" w:eastAsia="仿宋" w:cs="方正仿宋简体"/>
                <w:b/>
                <w:iCs/>
              </w:rPr>
            </w:pPr>
            <w:r>
              <w:rPr>
                <w:rFonts w:hint="eastAsia" w:ascii="仿宋" w:hAnsi="仿宋" w:eastAsia="仿宋" w:cs="方正仿宋简体"/>
                <w:b/>
                <w:iCs/>
              </w:rPr>
              <w:t>基金托管人</w:t>
            </w:r>
          </w:p>
        </w:tc>
        <w:tc>
          <w:tcPr>
            <w:tcW w:w="1443" w:type="pct"/>
            <w:tcBorders>
              <w:top w:val="dashSmallGap" w:color="A5A5A5" w:themeColor="background1" w:themeShade="A6" w:sz="4" w:space="0"/>
            </w:tcBorders>
            <w:vAlign w:val="center"/>
          </w:tcPr>
          <w:p>
            <w:pPr>
              <w:spacing w:line="280" w:lineRule="exact"/>
              <w:rPr>
                <w:rFonts w:ascii="仿宋" w:hAnsi="仿宋" w:eastAsia="仿宋" w:cs="方正仿宋简体"/>
                <w:iCs/>
              </w:rPr>
            </w:pPr>
            <w:r>
              <w:rPr>
                <w:rFonts w:hint="eastAsia" w:ascii="仿宋" w:hAnsi="仿宋" w:eastAsia="仿宋" w:cs="方正仿宋简体"/>
                <w:iCs/>
              </w:rPr>
              <w:t xml:space="preserve">中国工商银行股份有限公司 </w:t>
            </w:r>
          </w:p>
        </w:tc>
      </w:tr>
      <w:tr>
        <w:tblPrEx>
          <w:tblBorders>
            <w:top w:val="single" w:color="auto" w:sz="4" w:space="0"/>
            <w:left w:val="none" w:color="auto" w:sz="0" w:space="0"/>
            <w:bottom w:val="single" w:color="auto" w:sz="4" w:space="0"/>
            <w:right w:val="none" w:color="auto" w:sz="0" w:space="0"/>
            <w:insideH w:val="dashSmallGap" w:color="A5A5A5" w:themeColor="background1" w:themeShade="A6" w:sz="4" w:space="0"/>
            <w:insideV w:val="none" w:color="auto" w:sz="0" w:space="0"/>
          </w:tblBorders>
          <w:tblCellMar>
            <w:top w:w="0" w:type="dxa"/>
            <w:left w:w="108" w:type="dxa"/>
            <w:bottom w:w="0" w:type="dxa"/>
            <w:right w:w="108" w:type="dxa"/>
          </w:tblCellMar>
        </w:tblPrEx>
        <w:trPr>
          <w:trHeight w:val="454" w:hRule="atLeast"/>
        </w:trPr>
        <w:tc>
          <w:tcPr>
            <w:tcW w:w="1145" w:type="pct"/>
            <w:vMerge w:val="restart"/>
            <w:vAlign w:val="center"/>
          </w:tcPr>
          <w:p>
            <w:pPr>
              <w:spacing w:line="280" w:lineRule="exact"/>
              <w:rPr>
                <w:rFonts w:ascii="仿宋" w:hAnsi="仿宋" w:eastAsia="仿宋" w:cs="方正仿宋简体"/>
                <w:b/>
                <w:iCs/>
              </w:rPr>
            </w:pPr>
            <w:r>
              <w:rPr>
                <w:rFonts w:hint="eastAsia" w:ascii="仿宋" w:hAnsi="仿宋" w:eastAsia="仿宋" w:cs="方正仿宋简体"/>
                <w:b/>
                <w:iCs/>
              </w:rPr>
              <w:t>基金合同生效日</w:t>
            </w:r>
          </w:p>
        </w:tc>
        <w:tc>
          <w:tcPr>
            <w:tcW w:w="1413" w:type="pct"/>
            <w:vMerge w:val="restart"/>
            <w:vAlign w:val="center"/>
          </w:tcPr>
          <w:p>
            <w:pPr>
              <w:spacing w:line="280" w:lineRule="exact"/>
              <w:rPr>
                <w:rFonts w:ascii="仿宋" w:hAnsi="仿宋" w:eastAsia="仿宋" w:cs="方正仿宋简体"/>
                <w:iCs/>
              </w:rPr>
            </w:pPr>
            <w:r>
              <w:rPr>
                <w:rFonts w:hint="eastAsia" w:ascii="仿宋" w:hAnsi="仿宋" w:eastAsia="仿宋" w:cs="方正仿宋简体"/>
                <w:iCs/>
              </w:rPr>
              <w:t>-</w:t>
            </w:r>
          </w:p>
        </w:tc>
        <w:tc>
          <w:tcPr>
            <w:tcW w:w="999" w:type="pct"/>
            <w:vMerge w:val="restart"/>
            <w:vAlign w:val="center"/>
          </w:tcPr>
          <w:p>
            <w:pPr>
              <w:spacing w:line="280" w:lineRule="exact"/>
              <w:rPr>
                <w:rFonts w:ascii="仿宋" w:hAnsi="仿宋" w:eastAsia="仿宋" w:cs="方正仿宋简体"/>
                <w:b/>
                <w:iCs/>
              </w:rPr>
            </w:pPr>
          </w:p>
        </w:tc>
        <w:tc>
          <w:tcPr>
            <w:tcW w:w="1443" w:type="pct"/>
            <w:tcBorders>
              <w:top w:val="dashSmallGap" w:color="A5A5A5" w:themeColor="background1" w:themeShade="A6" w:sz="4" w:space="0"/>
              <w:bottom w:val="nil"/>
            </w:tcBorders>
            <w:vAlign w:val="center"/>
          </w:tcPr>
          <w:p>
            <w:pPr>
              <w:spacing w:line="280" w:lineRule="exact"/>
              <w:rPr>
                <w:rFonts w:ascii="仿宋" w:hAnsi="仿宋" w:eastAsia="仿宋" w:cs="方正仿宋简体"/>
                <w:iCs/>
              </w:rPr>
            </w:pPr>
            <w:r>
              <w:rPr>
                <w:rFonts w:hint="eastAsia" w:ascii="仿宋" w:hAnsi="仿宋" w:eastAsia="仿宋" w:cs="方正仿宋简体"/>
                <w:iCs/>
              </w:rPr>
              <w:t xml:space="preserve"> </w:t>
            </w:r>
          </w:p>
        </w:tc>
      </w:tr>
      <w:tr>
        <w:tblPrEx>
          <w:tblBorders>
            <w:top w:val="single" w:color="auto" w:sz="4" w:space="0"/>
            <w:left w:val="none" w:color="auto" w:sz="0" w:space="0"/>
            <w:bottom w:val="single" w:color="auto" w:sz="4" w:space="0"/>
            <w:right w:val="none" w:color="auto" w:sz="0" w:space="0"/>
            <w:insideH w:val="dashSmallGap" w:color="A5A5A5" w:themeColor="background1" w:themeShade="A6" w:sz="4" w:space="0"/>
            <w:insideV w:val="none" w:color="auto" w:sz="0" w:space="0"/>
          </w:tblBorders>
          <w:tblCellMar>
            <w:top w:w="0" w:type="dxa"/>
            <w:left w:w="108" w:type="dxa"/>
            <w:bottom w:w="0" w:type="dxa"/>
            <w:right w:w="108" w:type="dxa"/>
          </w:tblCellMar>
        </w:tblPrEx>
        <w:trPr>
          <w:trHeight w:val="454" w:hRule="atLeast"/>
        </w:trPr>
        <w:tc>
          <w:tcPr>
            <w:tcW w:w="1145" w:type="pct"/>
            <w:vAlign w:val="center"/>
          </w:tcPr>
          <w:p>
            <w:pPr>
              <w:spacing w:line="280" w:lineRule="exact"/>
              <w:rPr>
                <w:rFonts w:ascii="仿宋" w:hAnsi="仿宋" w:eastAsia="仿宋" w:cs="方正仿宋简体"/>
                <w:b/>
                <w:iCs/>
              </w:rPr>
            </w:pPr>
            <w:r>
              <w:rPr>
                <w:rFonts w:hint="eastAsia" w:ascii="仿宋" w:hAnsi="仿宋" w:eastAsia="仿宋" w:cs="方正仿宋简体"/>
                <w:b/>
                <w:iCs/>
              </w:rPr>
              <w:t>基金类型</w:t>
            </w:r>
          </w:p>
        </w:tc>
        <w:tc>
          <w:tcPr>
            <w:tcW w:w="1413" w:type="pct"/>
            <w:vAlign w:val="center"/>
          </w:tcPr>
          <w:p>
            <w:pPr>
              <w:spacing w:line="280" w:lineRule="exact"/>
              <w:rPr>
                <w:rFonts w:ascii="仿宋" w:hAnsi="仿宋" w:eastAsia="仿宋" w:cs="方正仿宋简体"/>
                <w:iCs/>
              </w:rPr>
            </w:pPr>
            <w:r>
              <w:rPr>
                <w:rFonts w:hint="eastAsia" w:ascii="仿宋" w:hAnsi="仿宋" w:eastAsia="仿宋" w:cs="方正仿宋简体"/>
                <w:iCs/>
              </w:rPr>
              <w:t>债券型</w:t>
            </w:r>
          </w:p>
        </w:tc>
        <w:tc>
          <w:tcPr>
            <w:tcW w:w="999" w:type="pct"/>
            <w:vAlign w:val="center"/>
          </w:tcPr>
          <w:p>
            <w:pPr>
              <w:spacing w:line="280" w:lineRule="exact"/>
              <w:rPr>
                <w:rFonts w:ascii="仿宋" w:hAnsi="仿宋" w:eastAsia="仿宋" w:cs="方正仿宋简体"/>
                <w:b/>
                <w:iCs/>
              </w:rPr>
            </w:pPr>
            <w:r>
              <w:rPr>
                <w:rFonts w:hint="eastAsia" w:ascii="仿宋" w:hAnsi="仿宋" w:eastAsia="仿宋" w:cs="方正仿宋简体"/>
                <w:b/>
                <w:iCs/>
              </w:rPr>
              <w:t>交易币种</w:t>
            </w:r>
          </w:p>
        </w:tc>
        <w:tc>
          <w:tcPr>
            <w:tcW w:w="1443" w:type="pct"/>
            <w:tcBorders>
              <w:top w:val="dashSmallGap" w:color="A5A5A5" w:themeColor="background1" w:themeShade="A6" w:sz="4" w:space="0"/>
            </w:tcBorders>
            <w:vAlign w:val="center"/>
          </w:tcPr>
          <w:p>
            <w:pPr>
              <w:spacing w:line="280" w:lineRule="exact"/>
              <w:rPr>
                <w:rFonts w:ascii="仿宋" w:hAnsi="仿宋" w:eastAsia="仿宋" w:cs="方正仿宋简体"/>
                <w:iCs/>
              </w:rPr>
            </w:pPr>
            <w:r>
              <w:rPr>
                <w:rFonts w:hint="eastAsia" w:ascii="仿宋" w:hAnsi="仿宋" w:eastAsia="仿宋" w:cs="方正仿宋简体"/>
                <w:iCs/>
              </w:rPr>
              <w:t>人民币</w:t>
            </w:r>
          </w:p>
        </w:tc>
      </w:tr>
      <w:tr>
        <w:tblPrEx>
          <w:tblBorders>
            <w:top w:val="single" w:color="auto" w:sz="4" w:space="0"/>
            <w:left w:val="none" w:color="auto" w:sz="0" w:space="0"/>
            <w:bottom w:val="single" w:color="auto" w:sz="4" w:space="0"/>
            <w:right w:val="none" w:color="auto" w:sz="0" w:space="0"/>
            <w:insideH w:val="dashSmallGap" w:color="A5A5A5" w:themeColor="background1" w:themeShade="A6" w:sz="4" w:space="0"/>
            <w:insideV w:val="none" w:color="auto" w:sz="0" w:space="0"/>
          </w:tblBorders>
          <w:tblCellMar>
            <w:top w:w="0" w:type="dxa"/>
            <w:left w:w="108" w:type="dxa"/>
            <w:bottom w:w="0" w:type="dxa"/>
            <w:right w:w="108" w:type="dxa"/>
          </w:tblCellMar>
        </w:tblPrEx>
        <w:trPr>
          <w:trHeight w:val="454" w:hRule="atLeast"/>
        </w:trPr>
        <w:tc>
          <w:tcPr>
            <w:tcW w:w="1145" w:type="pct"/>
            <w:vAlign w:val="center"/>
          </w:tcPr>
          <w:p>
            <w:pPr>
              <w:spacing w:line="280" w:lineRule="exact"/>
              <w:rPr>
                <w:rFonts w:ascii="仿宋" w:hAnsi="仿宋" w:eastAsia="仿宋" w:cs="方正仿宋简体"/>
                <w:b/>
                <w:iCs/>
              </w:rPr>
            </w:pPr>
            <w:r>
              <w:rPr>
                <w:rFonts w:hint="eastAsia" w:ascii="仿宋" w:hAnsi="仿宋" w:eastAsia="仿宋" w:cs="方正仿宋简体"/>
                <w:b/>
                <w:iCs/>
              </w:rPr>
              <w:t>运作方式</w:t>
            </w:r>
          </w:p>
        </w:tc>
        <w:tc>
          <w:tcPr>
            <w:tcW w:w="1413" w:type="pct"/>
            <w:vAlign w:val="center"/>
          </w:tcPr>
          <w:p>
            <w:pPr>
              <w:spacing w:line="280" w:lineRule="exact"/>
              <w:rPr>
                <w:rFonts w:ascii="仿宋" w:hAnsi="仿宋" w:eastAsia="仿宋" w:cs="方正仿宋简体"/>
                <w:iCs/>
              </w:rPr>
            </w:pPr>
            <w:r>
              <w:rPr>
                <w:rFonts w:hint="eastAsia" w:ascii="仿宋" w:hAnsi="仿宋" w:eastAsia="仿宋" w:cs="方正仿宋简体"/>
                <w:iCs/>
              </w:rPr>
              <w:t>普通开放式</w:t>
            </w:r>
          </w:p>
        </w:tc>
        <w:tc>
          <w:tcPr>
            <w:tcW w:w="999" w:type="pct"/>
            <w:vAlign w:val="center"/>
          </w:tcPr>
          <w:p>
            <w:pPr>
              <w:spacing w:line="280" w:lineRule="exact"/>
              <w:rPr>
                <w:rFonts w:ascii="仿宋" w:hAnsi="仿宋" w:eastAsia="仿宋" w:cs="方正仿宋简体"/>
                <w:b/>
                <w:iCs/>
              </w:rPr>
            </w:pPr>
            <w:r>
              <w:rPr>
                <w:rFonts w:hint="eastAsia" w:ascii="仿宋" w:hAnsi="仿宋" w:eastAsia="仿宋" w:cs="方正仿宋简体"/>
                <w:b/>
                <w:iCs/>
              </w:rPr>
              <w:t>开放频率</w:t>
            </w:r>
          </w:p>
        </w:tc>
        <w:tc>
          <w:tcPr>
            <w:tcW w:w="1443" w:type="pct"/>
            <w:vAlign w:val="center"/>
          </w:tcPr>
          <w:p>
            <w:pPr>
              <w:spacing w:line="280" w:lineRule="exact"/>
              <w:rPr>
                <w:rFonts w:ascii="仿宋" w:hAnsi="仿宋" w:eastAsia="仿宋" w:cs="方正仿宋简体"/>
                <w:iCs/>
              </w:rPr>
            </w:pPr>
            <w:r>
              <w:rPr>
                <w:rFonts w:hint="eastAsia" w:ascii="仿宋" w:hAnsi="仿宋" w:eastAsia="仿宋" w:cs="方正仿宋简体"/>
                <w:iCs/>
              </w:rPr>
              <w:t>每个开放日</w:t>
            </w:r>
          </w:p>
        </w:tc>
      </w:tr>
      <w:tr>
        <w:tblPrEx>
          <w:tblBorders>
            <w:top w:val="single" w:color="auto" w:sz="4" w:space="0"/>
            <w:left w:val="none" w:color="auto" w:sz="0" w:space="0"/>
            <w:bottom w:val="single" w:color="auto" w:sz="4" w:space="0"/>
            <w:right w:val="none" w:color="auto" w:sz="0" w:space="0"/>
            <w:insideH w:val="dashSmallGap" w:color="A5A5A5" w:themeColor="background1" w:themeShade="A6" w:sz="4" w:space="0"/>
            <w:insideV w:val="none" w:color="auto" w:sz="0" w:space="0"/>
          </w:tblBorders>
          <w:tblCellMar>
            <w:top w:w="0" w:type="dxa"/>
            <w:left w:w="108" w:type="dxa"/>
            <w:bottom w:w="0" w:type="dxa"/>
            <w:right w:w="108" w:type="dxa"/>
          </w:tblCellMar>
        </w:tblPrEx>
        <w:trPr>
          <w:trHeight w:val="454" w:hRule="atLeast"/>
        </w:trPr>
        <w:tc>
          <w:tcPr>
            <w:tcW w:w="1145" w:type="pct"/>
            <w:vMerge w:val="restart"/>
            <w:vAlign w:val="center"/>
          </w:tcPr>
          <w:p>
            <w:pPr>
              <w:spacing w:line="280" w:lineRule="exact"/>
              <w:rPr>
                <w:rFonts w:ascii="仿宋" w:hAnsi="仿宋" w:eastAsia="仿宋" w:cs="方正仿宋简体"/>
                <w:b/>
                <w:iCs/>
              </w:rPr>
            </w:pPr>
            <w:r>
              <w:rPr>
                <w:rFonts w:hint="eastAsia" w:ascii="仿宋" w:hAnsi="仿宋" w:eastAsia="仿宋" w:cs="方正仿宋简体"/>
                <w:b/>
                <w:iCs/>
              </w:rPr>
              <w:t>基金经理</w:t>
            </w:r>
          </w:p>
        </w:tc>
        <w:tc>
          <w:tcPr>
            <w:tcW w:w="1413" w:type="pct"/>
            <w:vMerge w:val="restart"/>
            <w:vAlign w:val="center"/>
          </w:tcPr>
          <w:p>
            <w:pPr>
              <w:spacing w:line="280" w:lineRule="exact"/>
              <w:rPr>
                <w:rFonts w:ascii="仿宋" w:hAnsi="仿宋" w:eastAsia="仿宋" w:cs="方正仿宋简体"/>
                <w:iCs/>
              </w:rPr>
            </w:pPr>
            <w:r>
              <w:rPr>
                <w:rFonts w:ascii="仿宋" w:hAnsi="仿宋" w:eastAsia="仿宋" w:cs="方正仿宋简体"/>
                <w:iCs/>
              </w:rPr>
              <w:t>代宇</w:t>
            </w:r>
          </w:p>
        </w:tc>
        <w:tc>
          <w:tcPr>
            <w:tcW w:w="999" w:type="pct"/>
            <w:vAlign w:val="center"/>
          </w:tcPr>
          <w:p>
            <w:pPr>
              <w:spacing w:line="280" w:lineRule="exact"/>
              <w:rPr>
                <w:rFonts w:ascii="仿宋" w:hAnsi="仿宋" w:eastAsia="仿宋" w:cs="方正仿宋简体"/>
                <w:b/>
                <w:iCs/>
              </w:rPr>
            </w:pPr>
            <w:r>
              <w:rPr>
                <w:rFonts w:hint="eastAsia" w:ascii="仿宋" w:hAnsi="仿宋" w:eastAsia="仿宋" w:cs="方正仿宋简体"/>
                <w:b/>
                <w:iCs/>
              </w:rPr>
              <w:t>开始担任本基金基金经理的日期</w:t>
            </w:r>
          </w:p>
        </w:tc>
        <w:tc>
          <w:tcPr>
            <w:tcW w:w="1443" w:type="pct"/>
            <w:vAlign w:val="center"/>
          </w:tcPr>
          <w:p>
            <w:pPr>
              <w:spacing w:line="280" w:lineRule="exact"/>
              <w:rPr>
                <w:rFonts w:ascii="仿宋" w:hAnsi="仿宋" w:eastAsia="仿宋" w:cs="方正仿宋简体"/>
                <w:iCs/>
              </w:rPr>
            </w:pPr>
            <w:r>
              <w:rPr>
                <w:rFonts w:ascii="仿宋" w:hAnsi="仿宋" w:eastAsia="仿宋" w:cs="方正仿宋简体"/>
                <w:iCs/>
              </w:rPr>
              <w:t>-</w:t>
            </w:r>
          </w:p>
        </w:tc>
      </w:tr>
      <w:tr>
        <w:tblPrEx>
          <w:tblBorders>
            <w:top w:val="single" w:color="auto" w:sz="4" w:space="0"/>
            <w:left w:val="none" w:color="auto" w:sz="0" w:space="0"/>
            <w:bottom w:val="single" w:color="auto" w:sz="4" w:space="0"/>
            <w:right w:val="none" w:color="auto" w:sz="0" w:space="0"/>
            <w:insideH w:val="dashSmallGap" w:color="A5A5A5" w:themeColor="background1" w:themeShade="A6" w:sz="4" w:space="0"/>
            <w:insideV w:val="none" w:color="auto" w:sz="0" w:space="0"/>
          </w:tblBorders>
          <w:tblCellMar>
            <w:top w:w="0" w:type="dxa"/>
            <w:left w:w="108" w:type="dxa"/>
            <w:bottom w:w="0" w:type="dxa"/>
            <w:right w:w="108" w:type="dxa"/>
          </w:tblCellMar>
        </w:tblPrEx>
        <w:trPr>
          <w:trHeight w:val="454" w:hRule="atLeast"/>
        </w:trPr>
        <w:tc>
          <w:tcPr>
            <w:tcW w:w="1145" w:type="pct"/>
            <w:vMerge w:val="continue"/>
            <w:vAlign w:val="center"/>
          </w:tcPr>
          <w:p>
            <w:pPr>
              <w:spacing w:line="280" w:lineRule="exact"/>
              <w:rPr>
                <w:rFonts w:ascii="仿宋" w:hAnsi="仿宋" w:eastAsia="仿宋" w:cs="方正仿宋简体"/>
                <w:b/>
                <w:iCs/>
              </w:rPr>
            </w:pPr>
          </w:p>
        </w:tc>
        <w:tc>
          <w:tcPr>
            <w:tcW w:w="1413" w:type="pct"/>
            <w:vMerge w:val="continue"/>
            <w:vAlign w:val="center"/>
          </w:tcPr>
          <w:p>
            <w:pPr>
              <w:spacing w:line="280" w:lineRule="exact"/>
              <w:rPr>
                <w:rFonts w:ascii="仿宋" w:hAnsi="仿宋" w:eastAsia="仿宋" w:cs="方正仿宋简体"/>
                <w:b/>
                <w:iCs/>
              </w:rPr>
            </w:pPr>
          </w:p>
        </w:tc>
        <w:tc>
          <w:tcPr>
            <w:tcW w:w="999" w:type="pct"/>
            <w:vAlign w:val="center"/>
          </w:tcPr>
          <w:p>
            <w:pPr>
              <w:spacing w:line="280" w:lineRule="exact"/>
              <w:rPr>
                <w:rFonts w:ascii="仿宋" w:hAnsi="仿宋" w:eastAsia="仿宋" w:cs="方正仿宋简体"/>
                <w:b/>
                <w:iCs/>
              </w:rPr>
            </w:pPr>
            <w:r>
              <w:rPr>
                <w:rFonts w:hint="eastAsia" w:ascii="仿宋" w:hAnsi="仿宋" w:eastAsia="仿宋" w:cs="方正仿宋简体"/>
                <w:b/>
                <w:iCs/>
              </w:rPr>
              <w:t>证券从业日期</w:t>
            </w:r>
          </w:p>
        </w:tc>
        <w:tc>
          <w:tcPr>
            <w:tcW w:w="1443" w:type="pct"/>
            <w:vAlign w:val="center"/>
          </w:tcPr>
          <w:p>
            <w:pPr>
              <w:spacing w:line="280" w:lineRule="exact"/>
              <w:rPr>
                <w:rFonts w:ascii="仿宋" w:hAnsi="仿宋" w:eastAsia="仿宋" w:cs="方正仿宋简体"/>
                <w:iCs/>
              </w:rPr>
            </w:pPr>
            <w:r>
              <w:rPr>
                <w:rFonts w:hint="eastAsia" w:ascii="仿宋" w:hAnsi="仿宋" w:eastAsia="仿宋" w:cs="方正仿宋简体"/>
                <w:iCs/>
              </w:rPr>
              <w:t>2005-07-01</w:t>
            </w:r>
          </w:p>
        </w:tc>
      </w:tr>
      <w:tr>
        <w:tblPrEx>
          <w:tblBorders>
            <w:top w:val="single" w:color="auto" w:sz="4" w:space="0"/>
            <w:left w:val="none" w:color="auto" w:sz="0" w:space="0"/>
            <w:bottom w:val="single" w:color="auto" w:sz="4" w:space="0"/>
            <w:right w:val="none" w:color="auto" w:sz="0" w:space="0"/>
            <w:insideH w:val="dashSmallGap" w:color="A5A5A5" w:themeColor="background1" w:themeShade="A6" w:sz="4" w:space="0"/>
            <w:insideV w:val="none" w:color="auto" w:sz="0" w:space="0"/>
          </w:tblBorders>
          <w:tblCellMar>
            <w:top w:w="0" w:type="dxa"/>
            <w:left w:w="108" w:type="dxa"/>
            <w:bottom w:w="0" w:type="dxa"/>
            <w:right w:w="108" w:type="dxa"/>
          </w:tblCellMar>
        </w:tblPrEx>
        <w:trPr>
          <w:trHeight w:val="454" w:hRule="atLeast"/>
        </w:trPr>
        <w:tc>
          <w:tcPr>
            <w:tcW w:w="1145" w:type="pct"/>
            <w:vAlign w:val="center"/>
          </w:tcPr>
          <w:p>
            <w:pPr>
              <w:spacing w:line="280" w:lineRule="exact"/>
              <w:rPr>
                <w:rFonts w:ascii="仿宋" w:hAnsi="仿宋" w:eastAsia="仿宋" w:cs="方正仿宋简体"/>
                <w:iCs/>
              </w:rPr>
            </w:pPr>
            <w:r>
              <w:rPr>
                <w:rFonts w:hint="eastAsia" w:ascii="仿宋" w:hAnsi="仿宋" w:eastAsia="仿宋" w:cs="方正仿宋简体"/>
                <w:iCs/>
              </w:rPr>
              <w:t>其他</w:t>
            </w:r>
          </w:p>
        </w:tc>
        <w:tc>
          <w:tcPr>
            <w:tcW w:w="3855" w:type="pct"/>
            <w:gridSpan w:val="3"/>
            <w:vAlign w:val="center"/>
          </w:tcPr>
          <w:p>
            <w:pPr>
              <w:spacing w:line="280" w:lineRule="exact"/>
              <w:rPr>
                <w:rFonts w:ascii="仿宋" w:hAnsi="仿宋" w:eastAsia="仿宋" w:cs="方正仿宋简体"/>
                <w:iCs/>
              </w:rPr>
            </w:pPr>
            <w:r>
              <w:rPr>
                <w:rFonts w:hint="eastAsia" w:ascii="仿宋" w:hAnsi="仿宋" w:eastAsia="仿宋" w:cs="方正仿宋简体"/>
                <w:iCs/>
              </w:rPr>
              <w:t>《基金合同》生效后，连续20个工作日出现基金份额持有人数量不满200人或者基金资产净值低于5000万元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pPr>
              <w:spacing w:line="280" w:lineRule="exact"/>
              <w:rPr>
                <w:rFonts w:ascii="仿宋" w:hAnsi="仿宋" w:eastAsia="仿宋" w:cs="方正仿宋简体"/>
                <w:iCs/>
              </w:rPr>
            </w:pPr>
            <w:r>
              <w:rPr>
                <w:rFonts w:hint="eastAsia" w:ascii="仿宋" w:hAnsi="仿宋" w:eastAsia="仿宋" w:cs="方正仿宋简体"/>
                <w:iCs/>
              </w:rPr>
              <w:t>法律法规或中国证监会另有规定时，从其规定。</w:t>
            </w:r>
          </w:p>
        </w:tc>
      </w:tr>
    </w:tbl>
    <w:p>
      <w:pPr>
        <w:spacing w:line="280" w:lineRule="exact"/>
        <w:rPr>
          <w:rFonts w:ascii="仿宋" w:hAnsi="仿宋" w:eastAsia="仿宋" w:cs="仿宋_GB2312"/>
          <w:b/>
          <w:kern w:val="0"/>
          <w:szCs w:val="24"/>
        </w:rPr>
      </w:pPr>
    </w:p>
    <w:p>
      <w:pPr>
        <w:numPr>
          <w:ilvl w:val="0"/>
          <w:numId w:val="2"/>
        </w:numPr>
        <w:spacing w:line="280" w:lineRule="exact"/>
        <w:outlineLvl w:val="0"/>
        <w:rPr>
          <w:rFonts w:ascii="仿宋" w:hAnsi="仿宋" w:eastAsia="仿宋" w:cs="方正仿宋简体"/>
          <w:b/>
          <w:iCs/>
          <w:sz w:val="24"/>
          <w:szCs w:val="24"/>
        </w:rPr>
      </w:pPr>
      <w:r>
        <w:rPr>
          <w:rFonts w:hint="eastAsia" w:ascii="仿宋" w:hAnsi="仿宋" w:eastAsia="仿宋" w:cs="方正仿宋简体"/>
          <w:b/>
          <w:iCs/>
          <w:sz w:val="24"/>
          <w:szCs w:val="24"/>
        </w:rPr>
        <w:t>基金投资与净值表现</w:t>
      </w:r>
    </w:p>
    <w:p>
      <w:pPr>
        <w:pStyle w:val="12"/>
        <w:numPr>
          <w:ilvl w:val="0"/>
          <w:numId w:val="3"/>
        </w:numPr>
        <w:spacing w:line="280" w:lineRule="exact"/>
        <w:ind w:firstLineChars="0"/>
        <w:outlineLvl w:val="1"/>
        <w:rPr>
          <w:rFonts w:ascii="仿宋" w:hAnsi="仿宋" w:eastAsia="仿宋" w:cs="方正仿宋简体"/>
          <w:b/>
          <w:iCs/>
          <w:sz w:val="24"/>
          <w:szCs w:val="24"/>
        </w:rPr>
      </w:pPr>
      <w:r>
        <w:rPr>
          <w:rFonts w:hint="eastAsia" w:ascii="仿宋" w:hAnsi="仿宋" w:eastAsia="仿宋" w:cs="方正仿宋简体"/>
          <w:b/>
          <w:iCs/>
          <w:sz w:val="24"/>
          <w:szCs w:val="24"/>
        </w:rPr>
        <w:t>投资目标与投资策略</w:t>
      </w:r>
    </w:p>
    <w:tbl>
      <w:tblPr>
        <w:tblStyle w:val="8"/>
        <w:tblW w:w="5000" w:type="pct"/>
        <w:tblInd w:w="0" w:type="dxa"/>
        <w:tblBorders>
          <w:top w:val="single" w:color="auto" w:sz="4" w:space="0"/>
          <w:left w:val="none" w:color="auto" w:sz="0" w:space="0"/>
          <w:bottom w:val="single" w:color="auto" w:sz="4" w:space="0"/>
          <w:right w:val="none" w:color="auto" w:sz="0" w:space="0"/>
          <w:insideH w:val="dashSmallGap" w:color="7F7F7F" w:themeColor="background1" w:themeShade="80" w:sz="4" w:space="0"/>
          <w:insideV w:val="none" w:color="auto" w:sz="0" w:space="0"/>
        </w:tblBorders>
        <w:tblLayout w:type="autofit"/>
        <w:tblCellMar>
          <w:top w:w="0" w:type="dxa"/>
          <w:left w:w="108" w:type="dxa"/>
          <w:bottom w:w="0" w:type="dxa"/>
          <w:right w:w="108" w:type="dxa"/>
        </w:tblCellMar>
      </w:tblPr>
      <w:tblGrid>
        <w:gridCol w:w="1952"/>
        <w:gridCol w:w="6570"/>
      </w:tblGrid>
      <w:tr>
        <w:tblPrEx>
          <w:tblBorders>
            <w:top w:val="single" w:color="auto" w:sz="4" w:space="0"/>
            <w:left w:val="none" w:color="auto" w:sz="0" w:space="0"/>
            <w:bottom w:val="single" w:color="auto"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145" w:type="pct"/>
            <w:vAlign w:val="center"/>
          </w:tcPr>
          <w:p>
            <w:pPr>
              <w:autoSpaceDE w:val="0"/>
              <w:autoSpaceDN w:val="0"/>
              <w:adjustRightInd w:val="0"/>
              <w:spacing w:line="280" w:lineRule="exact"/>
              <w:rPr>
                <w:rFonts w:ascii="仿宋" w:hAnsi="仿宋" w:eastAsia="仿宋" w:cs="仿宋_GB2312"/>
                <w:kern w:val="0"/>
                <w:sz w:val="22"/>
                <w:szCs w:val="24"/>
              </w:rPr>
            </w:pPr>
            <w:r>
              <w:rPr>
                <w:rFonts w:hint="eastAsia" w:ascii="仿宋" w:hAnsi="仿宋" w:eastAsia="仿宋" w:cs="方正仿宋简体"/>
                <w:b/>
                <w:bCs/>
                <w:iCs/>
                <w:szCs w:val="24"/>
              </w:rPr>
              <w:t>投资目标</w:t>
            </w:r>
          </w:p>
        </w:tc>
        <w:tc>
          <w:tcPr>
            <w:tcW w:w="3854" w:type="pct"/>
            <w:vAlign w:val="center"/>
          </w:tcPr>
          <w:p>
            <w:pPr>
              <w:autoSpaceDE w:val="0"/>
              <w:autoSpaceDN w:val="0"/>
              <w:adjustRightInd w:val="0"/>
              <w:spacing w:line="280" w:lineRule="exact"/>
              <w:rPr>
                <w:rFonts w:ascii="仿宋" w:hAnsi="仿宋" w:eastAsia="仿宋" w:cs="仿宋_GB2312"/>
                <w:kern w:val="0"/>
                <w:szCs w:val="24"/>
              </w:rPr>
            </w:pPr>
            <w:r>
              <w:rPr>
                <w:rFonts w:hint="eastAsia" w:ascii="仿宋" w:hAnsi="仿宋" w:eastAsia="仿宋" w:cs="仿宋_GB2312"/>
                <w:kern w:val="0"/>
                <w:szCs w:val="24"/>
              </w:rPr>
              <w:t>在严格控制风险和保持较高流动性的基础上，力求获得超越业绩比较基准的投资回报。</w:t>
            </w:r>
          </w:p>
        </w:tc>
      </w:tr>
      <w:tr>
        <w:tblPrEx>
          <w:tblBorders>
            <w:top w:val="single" w:color="auto" w:sz="4" w:space="0"/>
            <w:left w:val="none" w:color="auto" w:sz="0" w:space="0"/>
            <w:bottom w:val="single" w:color="auto"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145" w:type="pct"/>
            <w:vAlign w:val="center"/>
          </w:tcPr>
          <w:p>
            <w:pPr>
              <w:autoSpaceDE w:val="0"/>
              <w:autoSpaceDN w:val="0"/>
              <w:adjustRightInd w:val="0"/>
              <w:spacing w:line="280" w:lineRule="exact"/>
              <w:rPr>
                <w:rFonts w:ascii="仿宋" w:hAnsi="仿宋" w:eastAsia="仿宋" w:cs="仿宋_GB2312"/>
                <w:kern w:val="0"/>
                <w:sz w:val="22"/>
                <w:szCs w:val="24"/>
              </w:rPr>
            </w:pPr>
            <w:r>
              <w:rPr>
                <w:rFonts w:hint="eastAsia" w:ascii="仿宋" w:hAnsi="仿宋" w:eastAsia="仿宋" w:cs="方正仿宋简体"/>
                <w:b/>
                <w:bCs/>
                <w:iCs/>
                <w:szCs w:val="24"/>
              </w:rPr>
              <w:t>投资范围</w:t>
            </w:r>
          </w:p>
        </w:tc>
        <w:tc>
          <w:tcPr>
            <w:tcW w:w="3854" w:type="pct"/>
            <w:vAlign w:val="center"/>
          </w:tcPr>
          <w:p>
            <w:pPr>
              <w:autoSpaceDE w:val="0"/>
              <w:autoSpaceDN w:val="0"/>
              <w:adjustRightInd w:val="0"/>
              <w:spacing w:line="280" w:lineRule="exact"/>
              <w:rPr>
                <w:rFonts w:ascii="仿宋" w:hAnsi="仿宋" w:eastAsia="仿宋" w:cs="仿宋_GB2312"/>
                <w:kern w:val="0"/>
                <w:szCs w:val="24"/>
              </w:rPr>
            </w:pPr>
            <w:r>
              <w:rPr>
                <w:rFonts w:hint="eastAsia" w:ascii="仿宋" w:hAnsi="仿宋" w:eastAsia="仿宋" w:cs="仿宋_GB2312"/>
                <w:kern w:val="0"/>
                <w:szCs w:val="24"/>
              </w:rPr>
              <w:t>本基金的投资范围为具有良好流动性的金融工具，包括国内依法发行上市的国债、央行票据、政府支持机构债、政府支持债券、金融债、地方政府债、企业债、公司债、短期融资券、超级短期融资券、中期票据、资产支持证券、次级债券、可分离交易可转债的纯债部分、债券回购、银行存款、同业存单、国债期货、信用衍生品等金融工具以及法律法规或中国证监会允许基金投资的其他债券类金融工具（但须符合中国证监会的相关规定）。</w:t>
            </w:r>
          </w:p>
          <w:p>
            <w:pPr>
              <w:autoSpaceDE w:val="0"/>
              <w:autoSpaceDN w:val="0"/>
              <w:adjustRightInd w:val="0"/>
              <w:spacing w:line="280" w:lineRule="exact"/>
              <w:rPr>
                <w:rFonts w:ascii="仿宋" w:hAnsi="仿宋" w:eastAsia="仿宋" w:cs="仿宋_GB2312"/>
                <w:kern w:val="0"/>
                <w:szCs w:val="24"/>
              </w:rPr>
            </w:pPr>
            <w:r>
              <w:rPr>
                <w:rFonts w:hint="eastAsia" w:ascii="仿宋" w:hAnsi="仿宋" w:eastAsia="仿宋" w:cs="仿宋_GB2312"/>
                <w:kern w:val="0"/>
                <w:szCs w:val="24"/>
              </w:rPr>
              <w:t>本基金不投资于股票，也不投资于可转换债券（可分离交易可转债的纯债部分除外）、可交换债券。</w:t>
            </w:r>
          </w:p>
          <w:p>
            <w:pPr>
              <w:autoSpaceDE w:val="0"/>
              <w:autoSpaceDN w:val="0"/>
              <w:adjustRightInd w:val="0"/>
              <w:spacing w:line="280" w:lineRule="exact"/>
              <w:rPr>
                <w:rFonts w:ascii="仿宋" w:hAnsi="仿宋" w:eastAsia="仿宋" w:cs="仿宋_GB2312"/>
                <w:kern w:val="0"/>
                <w:szCs w:val="24"/>
              </w:rPr>
            </w:pPr>
            <w:r>
              <w:rPr>
                <w:rFonts w:hint="eastAsia" w:ascii="仿宋" w:hAnsi="仿宋" w:eastAsia="仿宋" w:cs="仿宋_GB2312"/>
                <w:kern w:val="0"/>
                <w:szCs w:val="24"/>
              </w:rPr>
              <w:t>如法律法规或监管机构以后允许基金投资其他品种，基金管理人在履行适当程序后，可以将其纳入投资范围。</w:t>
            </w:r>
          </w:p>
          <w:p>
            <w:pPr>
              <w:autoSpaceDE w:val="0"/>
              <w:autoSpaceDN w:val="0"/>
              <w:adjustRightInd w:val="0"/>
              <w:spacing w:line="280" w:lineRule="exact"/>
              <w:rPr>
                <w:rFonts w:ascii="仿宋" w:hAnsi="仿宋" w:eastAsia="仿宋" w:cs="仿宋_GB2312"/>
                <w:kern w:val="0"/>
                <w:szCs w:val="24"/>
              </w:rPr>
            </w:pPr>
            <w:r>
              <w:rPr>
                <w:rFonts w:hint="eastAsia" w:ascii="仿宋" w:hAnsi="仿宋" w:eastAsia="仿宋" w:cs="仿宋_GB2312"/>
                <w:kern w:val="0"/>
                <w:szCs w:val="24"/>
              </w:rPr>
              <w:t>基金的投资组合比例为：本基金投资于债券资产的比例不低于基金资产的80%；每个交易日日终在扣除国债期货合约需缴纳的交易保证金后，现金或到期日在一年以内的政府债券不低于基金资产净值的5%，其中现金不包括结算备付金、存出保证金和应收申购款等；国债期货及其他金融工具的投资比例依照法律法规或监管机构的规定执行。</w:t>
            </w:r>
          </w:p>
          <w:p>
            <w:pPr>
              <w:autoSpaceDE w:val="0"/>
              <w:autoSpaceDN w:val="0"/>
              <w:adjustRightInd w:val="0"/>
              <w:spacing w:line="280" w:lineRule="exact"/>
              <w:rPr>
                <w:rFonts w:ascii="仿宋" w:hAnsi="仿宋" w:eastAsia="仿宋" w:cs="仿宋_GB2312"/>
                <w:kern w:val="0"/>
                <w:szCs w:val="24"/>
              </w:rPr>
            </w:pPr>
            <w:r>
              <w:rPr>
                <w:rFonts w:hint="eastAsia" w:ascii="仿宋" w:hAnsi="仿宋" w:eastAsia="仿宋" w:cs="仿宋_GB2312"/>
                <w:kern w:val="0"/>
                <w:szCs w:val="24"/>
              </w:rPr>
              <w:t>如未来法律法规或监管机构对投资比例要求有变更的，基金管理人在履行适当程序后，可以做出相应调整。</w:t>
            </w:r>
          </w:p>
        </w:tc>
      </w:tr>
      <w:tr>
        <w:tblPrEx>
          <w:tblBorders>
            <w:top w:val="single" w:color="auto" w:sz="4" w:space="0"/>
            <w:left w:val="none" w:color="auto" w:sz="0" w:space="0"/>
            <w:bottom w:val="single" w:color="auto"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145" w:type="pct"/>
            <w:vAlign w:val="center"/>
          </w:tcPr>
          <w:p>
            <w:pPr>
              <w:autoSpaceDE w:val="0"/>
              <w:autoSpaceDN w:val="0"/>
              <w:adjustRightInd w:val="0"/>
              <w:spacing w:line="280" w:lineRule="exact"/>
              <w:rPr>
                <w:rFonts w:ascii="仿宋" w:hAnsi="仿宋" w:eastAsia="仿宋" w:cs="仿宋_GB2312"/>
                <w:kern w:val="0"/>
                <w:sz w:val="22"/>
                <w:szCs w:val="24"/>
              </w:rPr>
            </w:pPr>
            <w:r>
              <w:rPr>
                <w:rFonts w:hint="eastAsia" w:ascii="仿宋" w:hAnsi="仿宋" w:eastAsia="仿宋" w:cs="方正仿宋简体"/>
                <w:b/>
                <w:bCs/>
                <w:iCs/>
                <w:szCs w:val="24"/>
              </w:rPr>
              <w:t>主要投资策略</w:t>
            </w:r>
          </w:p>
        </w:tc>
        <w:tc>
          <w:tcPr>
            <w:tcW w:w="3854" w:type="pct"/>
            <w:vAlign w:val="center"/>
          </w:tcPr>
          <w:p>
            <w:pPr>
              <w:autoSpaceDE w:val="0"/>
              <w:autoSpaceDN w:val="0"/>
              <w:adjustRightInd w:val="0"/>
              <w:spacing w:line="280" w:lineRule="exact"/>
              <w:rPr>
                <w:rFonts w:ascii="仿宋" w:hAnsi="仿宋" w:eastAsia="仿宋" w:cs="仿宋_GB2312"/>
                <w:kern w:val="0"/>
                <w:szCs w:val="24"/>
              </w:rPr>
            </w:pPr>
            <w:r>
              <w:rPr>
                <w:rFonts w:hint="eastAsia" w:ascii="仿宋" w:hAnsi="仿宋" w:eastAsia="仿宋" w:cs="仿宋_GB2312"/>
                <w:kern w:val="0"/>
                <w:szCs w:val="24"/>
              </w:rPr>
              <w:t>具体策略包括：1、利率预期策略与久期管理；2、类属配置策略；3、信用债券投资策略；4、息差策略；5、资产支持证券投资策略；6、金融衍生产品投资策略。</w:t>
            </w:r>
          </w:p>
        </w:tc>
      </w:tr>
      <w:tr>
        <w:tblPrEx>
          <w:tblBorders>
            <w:top w:val="single" w:color="auto" w:sz="4" w:space="0"/>
            <w:left w:val="none" w:color="auto" w:sz="0" w:space="0"/>
            <w:bottom w:val="single" w:color="auto"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145" w:type="pct"/>
            <w:vAlign w:val="center"/>
          </w:tcPr>
          <w:p>
            <w:pPr>
              <w:autoSpaceDE w:val="0"/>
              <w:autoSpaceDN w:val="0"/>
              <w:adjustRightInd w:val="0"/>
              <w:spacing w:line="280" w:lineRule="exact"/>
              <w:rPr>
                <w:rFonts w:ascii="仿宋" w:hAnsi="仿宋" w:eastAsia="仿宋" w:cs="仿宋_GB2312"/>
                <w:kern w:val="0"/>
                <w:sz w:val="22"/>
                <w:szCs w:val="24"/>
              </w:rPr>
            </w:pPr>
            <w:r>
              <w:rPr>
                <w:rFonts w:hint="eastAsia" w:ascii="仿宋" w:hAnsi="仿宋" w:eastAsia="仿宋" w:cs="方正仿宋简体"/>
                <w:b/>
                <w:bCs/>
                <w:iCs/>
                <w:szCs w:val="24"/>
              </w:rPr>
              <w:t>业绩比较基准</w:t>
            </w:r>
          </w:p>
        </w:tc>
        <w:tc>
          <w:tcPr>
            <w:tcW w:w="3854" w:type="pct"/>
            <w:vAlign w:val="center"/>
          </w:tcPr>
          <w:p>
            <w:pPr>
              <w:autoSpaceDE w:val="0"/>
              <w:autoSpaceDN w:val="0"/>
              <w:adjustRightInd w:val="0"/>
              <w:spacing w:line="280" w:lineRule="exact"/>
              <w:rPr>
                <w:rFonts w:ascii="仿宋" w:hAnsi="仿宋" w:eastAsia="仿宋" w:cs="仿宋_GB2312"/>
                <w:kern w:val="0"/>
                <w:szCs w:val="24"/>
              </w:rPr>
            </w:pPr>
            <w:r>
              <w:rPr>
                <w:rFonts w:hint="eastAsia" w:ascii="仿宋" w:hAnsi="仿宋" w:eastAsia="仿宋" w:cs="仿宋_GB2312"/>
                <w:kern w:val="0"/>
                <w:szCs w:val="24"/>
              </w:rPr>
              <w:t>中债-总全价（总值）指数收益率×90%+一年期定期存款利率（税后）×10%</w:t>
            </w:r>
          </w:p>
        </w:tc>
      </w:tr>
      <w:tr>
        <w:tblPrEx>
          <w:tblBorders>
            <w:top w:val="single" w:color="auto" w:sz="4" w:space="0"/>
            <w:left w:val="none" w:color="auto" w:sz="0" w:space="0"/>
            <w:bottom w:val="single" w:color="auto"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145" w:type="pct"/>
            <w:vAlign w:val="center"/>
          </w:tcPr>
          <w:p>
            <w:pPr>
              <w:autoSpaceDE w:val="0"/>
              <w:autoSpaceDN w:val="0"/>
              <w:adjustRightInd w:val="0"/>
              <w:spacing w:line="280" w:lineRule="exact"/>
              <w:rPr>
                <w:rFonts w:ascii="仿宋" w:hAnsi="仿宋" w:eastAsia="仿宋" w:cs="仿宋_GB2312"/>
                <w:kern w:val="0"/>
                <w:sz w:val="22"/>
                <w:szCs w:val="24"/>
              </w:rPr>
            </w:pPr>
            <w:bookmarkStart w:id="0" w:name="_GoBack" w:colFirst="1" w:colLast="1"/>
            <w:r>
              <w:rPr>
                <w:rFonts w:hint="eastAsia" w:ascii="仿宋" w:hAnsi="仿宋" w:eastAsia="仿宋" w:cs="方正仿宋简体"/>
                <w:b/>
                <w:bCs/>
                <w:iCs/>
                <w:szCs w:val="24"/>
              </w:rPr>
              <w:t>风险收益特征</w:t>
            </w:r>
          </w:p>
        </w:tc>
        <w:tc>
          <w:tcPr>
            <w:tcW w:w="3854" w:type="pct"/>
            <w:vAlign w:val="center"/>
          </w:tcPr>
          <w:p>
            <w:pPr>
              <w:autoSpaceDE w:val="0"/>
              <w:autoSpaceDN w:val="0"/>
              <w:adjustRightInd w:val="0"/>
              <w:spacing w:line="280" w:lineRule="exact"/>
              <w:rPr>
                <w:rFonts w:ascii="仿宋" w:hAnsi="仿宋" w:eastAsia="仿宋" w:cs="仿宋_GB2312"/>
                <w:kern w:val="0"/>
                <w:szCs w:val="24"/>
              </w:rPr>
            </w:pPr>
            <w:r>
              <w:rPr>
                <w:rFonts w:hint="eastAsia" w:ascii="仿宋" w:hAnsi="仿宋" w:eastAsia="仿宋" w:cs="仿宋_GB2312"/>
                <w:kern w:val="0"/>
                <w:szCs w:val="24"/>
              </w:rPr>
              <w:t>本基金是债券型基金，其预期收益及风险水平低于股票型基金、混合型基金，高于货币市场基金。</w:t>
            </w:r>
          </w:p>
        </w:tc>
      </w:tr>
      <w:bookmarkEnd w:id="0"/>
    </w:tbl>
    <w:p>
      <w:pPr>
        <w:spacing w:line="280" w:lineRule="exact"/>
        <w:rPr>
          <w:rFonts w:ascii="仿宋" w:hAnsi="仿宋" w:eastAsia="仿宋" w:cs="方正仿宋简体"/>
          <w:iCs/>
          <w:szCs w:val="24"/>
        </w:rPr>
      </w:pPr>
      <w:r>
        <w:rPr>
          <w:rFonts w:hint="eastAsia" w:ascii="仿宋" w:hAnsi="仿宋" w:eastAsia="仿宋" w:cs="方正仿宋简体"/>
          <w:iCs/>
          <w:szCs w:val="24"/>
        </w:rPr>
        <w:t>注：详见《广发景裕纯债债券型证券投资基金招募说明书》及其更新文件中“基金的投资”。</w:t>
      </w:r>
    </w:p>
    <w:p>
      <w:pPr>
        <w:spacing w:line="280" w:lineRule="exact"/>
        <w:rPr>
          <w:rFonts w:ascii="仿宋" w:hAnsi="仿宋" w:eastAsia="仿宋" w:cs="仿宋_GB2312"/>
          <w:kern w:val="0"/>
          <w:szCs w:val="24"/>
        </w:rPr>
      </w:pPr>
    </w:p>
    <w:p>
      <w:pPr>
        <w:pStyle w:val="12"/>
        <w:numPr>
          <w:ilvl w:val="0"/>
          <w:numId w:val="3"/>
        </w:numPr>
        <w:spacing w:line="280" w:lineRule="exact"/>
        <w:ind w:firstLineChars="0"/>
        <w:outlineLvl w:val="1"/>
        <w:rPr>
          <w:rFonts w:ascii="仿宋" w:hAnsi="仿宋" w:eastAsia="仿宋" w:cs="方正仿宋简体"/>
          <w:b/>
          <w:iCs/>
          <w:sz w:val="24"/>
          <w:szCs w:val="24"/>
        </w:rPr>
      </w:pPr>
      <w:r>
        <w:rPr>
          <w:rFonts w:hint="eastAsia" w:ascii="仿宋" w:hAnsi="仿宋" w:eastAsia="仿宋" w:cs="方正仿宋简体"/>
          <w:b/>
          <w:iCs/>
          <w:sz w:val="24"/>
          <w:szCs w:val="24"/>
        </w:rPr>
        <w:t>投资组合资产配置图表/区域配置图表</w:t>
      </w:r>
    </w:p>
    <w:p>
      <w:pPr>
        <w:rPr>
          <w:rFonts w:ascii="仿宋" w:hAnsi="仿宋" w:eastAsia="仿宋" w:cs="方正仿宋简体"/>
          <w:b/>
          <w:iCs/>
          <w:sz w:val="24"/>
          <w:szCs w:val="24"/>
        </w:rPr>
      </w:pPr>
      <w:r>
        <w:rPr>
          <w:rFonts w:hint="eastAsia" w:ascii="仿宋" w:hAnsi="仿宋" w:eastAsia="仿宋" w:cs="方正仿宋简体"/>
          <w:b/>
          <w:iCs/>
          <w:sz w:val="24"/>
          <w:szCs w:val="24"/>
        </w:rPr>
        <w:t>投资组合资产配置图表</w:t>
      </w:r>
    </w:p>
    <w:p>
      <w:pPr>
        <w:jc w:val="left"/>
        <w:rPr>
          <w:rFonts w:ascii="仿宋" w:hAnsi="仿宋" w:eastAsia="仿宋" w:cs="方正仿宋简体"/>
          <w:b/>
          <w:iCs/>
          <w:sz w:val="24"/>
          <w:szCs w:val="24"/>
        </w:rPr>
      </w:pPr>
      <w:r>
        <w:rPr>
          <w:rFonts w:ascii="仿宋" w:hAnsi="仿宋" w:eastAsia="仿宋"/>
          <w:color w:val="000000" w:themeColor="text1"/>
          <w14:textFill>
            <w14:solidFill>
              <w14:schemeClr w14:val="tx1"/>
            </w14:solidFill>
          </w14:textFill>
        </w:rPr>
        <w:t>无</w:t>
      </w:r>
    </w:p>
    <w:p>
      <w:pPr>
        <w:pStyle w:val="12"/>
        <w:numPr>
          <w:ilvl w:val="0"/>
          <w:numId w:val="3"/>
        </w:numPr>
        <w:spacing w:line="280" w:lineRule="exact"/>
        <w:ind w:firstLineChars="0"/>
        <w:outlineLvl w:val="1"/>
        <w:rPr>
          <w:rFonts w:ascii="仿宋" w:hAnsi="仿宋" w:eastAsia="仿宋" w:cs="方正仿宋简体"/>
          <w:b/>
          <w:iCs/>
          <w:sz w:val="24"/>
          <w:szCs w:val="24"/>
        </w:rPr>
      </w:pPr>
      <w:r>
        <w:rPr>
          <w:rFonts w:hint="eastAsia" w:ascii="仿宋" w:hAnsi="仿宋" w:eastAsia="仿宋" w:cs="方正仿宋简体"/>
          <w:b/>
          <w:iCs/>
          <w:sz w:val="24"/>
          <w:szCs w:val="24"/>
        </w:rPr>
        <w:t>自基金合同生效以来基金每年的净值增长率及与同期业绩比较基准的比较图</w:t>
      </w:r>
    </w:p>
    <w:p>
      <w:pPr>
        <w:autoSpaceDE w:val="0"/>
        <w:autoSpaceDN w:val="0"/>
        <w:adjustRightInd w:val="0"/>
        <w:spacing w:line="280" w:lineRule="exact"/>
        <w:jc w:val="left"/>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无</w:t>
      </w:r>
    </w:p>
    <w:p>
      <w:pPr>
        <w:spacing w:line="280" w:lineRule="exact"/>
        <w:ind w:firstLine="420"/>
        <w:rPr>
          <w:rFonts w:ascii="仿宋" w:hAnsi="仿宋" w:eastAsia="仿宋" w:cs="方正仿宋简体"/>
          <w:iCs/>
        </w:rPr>
      </w:pPr>
    </w:p>
    <w:p>
      <w:pPr>
        <w:numPr>
          <w:ilvl w:val="0"/>
          <w:numId w:val="2"/>
        </w:numPr>
        <w:spacing w:line="280" w:lineRule="exact"/>
        <w:outlineLvl w:val="0"/>
        <w:rPr>
          <w:rFonts w:ascii="仿宋" w:hAnsi="仿宋" w:eastAsia="仿宋" w:cs="方正仿宋简体"/>
          <w:b/>
          <w:iCs/>
          <w:sz w:val="24"/>
          <w:szCs w:val="24"/>
        </w:rPr>
      </w:pPr>
      <w:r>
        <w:rPr>
          <w:rFonts w:hint="eastAsia" w:ascii="仿宋" w:hAnsi="仿宋" w:eastAsia="仿宋" w:cs="方正仿宋简体"/>
          <w:b/>
          <w:iCs/>
          <w:sz w:val="24"/>
          <w:szCs w:val="24"/>
        </w:rPr>
        <w:t>投资本基金涉及的费用</w:t>
      </w:r>
    </w:p>
    <w:p>
      <w:pPr>
        <w:pStyle w:val="12"/>
        <w:numPr>
          <w:ilvl w:val="0"/>
          <w:numId w:val="4"/>
        </w:numPr>
        <w:spacing w:line="340" w:lineRule="exact"/>
        <w:ind w:firstLineChars="0"/>
        <w:outlineLvl w:val="1"/>
        <w:rPr>
          <w:rFonts w:ascii="仿宋" w:hAnsi="仿宋" w:eastAsia="仿宋" w:cs="方正仿宋简体"/>
          <w:b/>
          <w:iCs/>
          <w:sz w:val="24"/>
          <w:szCs w:val="24"/>
        </w:rPr>
      </w:pPr>
      <w:r>
        <w:rPr>
          <w:rFonts w:hint="eastAsia" w:ascii="仿宋" w:hAnsi="仿宋" w:eastAsia="仿宋" w:cs="方正仿宋简体"/>
          <w:b/>
          <w:iCs/>
          <w:sz w:val="24"/>
          <w:szCs w:val="24"/>
        </w:rPr>
        <w:t>基金销售相关费用</w:t>
      </w:r>
    </w:p>
    <w:p>
      <w:pPr>
        <w:autoSpaceDE w:val="0"/>
        <w:autoSpaceDN w:val="0"/>
        <w:adjustRightInd w:val="0"/>
        <w:spacing w:line="280" w:lineRule="exact"/>
        <w:jc w:val="left"/>
        <w:rPr>
          <w:rFonts w:ascii="仿宋" w:hAnsi="仿宋" w:eastAsia="仿宋"/>
          <w:color w:val="000000" w:themeColor="text1"/>
          <w14:textFill>
            <w14:solidFill>
              <w14:schemeClr w14:val="tx1"/>
            </w14:solidFill>
          </w14:textFill>
        </w:rPr>
      </w:pPr>
      <w:r>
        <w:rPr>
          <w:rFonts w:hint="eastAsia" w:ascii="仿宋" w:hAnsi="仿宋" w:eastAsia="仿宋" w:cs="方正仿宋简体"/>
          <w:iCs/>
          <w:color w:val="000000" w:themeColor="text1"/>
          <w14:textFill>
            <w14:solidFill>
              <w14:schemeClr w14:val="tx1"/>
            </w14:solidFill>
          </w14:textFill>
        </w:rPr>
        <w:t>以下费用在认购/申购/赎回基金过程中收取：</w:t>
      </w:r>
    </w:p>
    <w:tbl>
      <w:tblPr>
        <w:tblStyle w:val="7"/>
        <w:tblW w:w="5303" w:type="pct"/>
        <w:tblInd w:w="0" w:type="dxa"/>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Layout w:type="autofit"/>
        <w:tblCellMar>
          <w:top w:w="0" w:type="dxa"/>
          <w:left w:w="108" w:type="dxa"/>
          <w:bottom w:w="0" w:type="dxa"/>
          <w:right w:w="108" w:type="dxa"/>
        </w:tblCellMar>
      </w:tblPr>
      <w:tblGrid>
        <w:gridCol w:w="2373"/>
        <w:gridCol w:w="3261"/>
        <w:gridCol w:w="1987"/>
        <w:gridCol w:w="1417"/>
      </w:tblGrid>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313" w:type="pct"/>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费用类型</w:t>
            </w:r>
          </w:p>
        </w:tc>
        <w:tc>
          <w:tcPr>
            <w:tcW w:w="1804" w:type="pct"/>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份额（S）或金额（M）</w:t>
            </w:r>
          </w:p>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/持有期限（N）</w:t>
            </w:r>
          </w:p>
        </w:tc>
        <w:tc>
          <w:tcPr>
            <w:tcW w:w="1099" w:type="pct"/>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收费方式/费率</w:t>
            </w:r>
          </w:p>
        </w:tc>
        <w:tc>
          <w:tcPr>
            <w:tcW w:w="784" w:type="pct"/>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备注</w:t>
            </w: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313" w:type="pct"/>
            <w:vMerge w:val="restart"/>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认购费</w:t>
            </w:r>
          </w:p>
        </w:tc>
        <w:tc>
          <w:tcPr>
            <w:tcW w:w="180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  M &lt; 100万元</w:t>
            </w:r>
          </w:p>
        </w:tc>
        <w:tc>
          <w:tcPr>
            <w:tcW w:w="1099"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0.30%  </w:t>
            </w:r>
          </w:p>
        </w:tc>
        <w:tc>
          <w:tcPr>
            <w:tcW w:w="78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313" w:type="pct"/>
            <w:vMerge w:val="continue"/>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认购费</w:t>
            </w:r>
          </w:p>
        </w:tc>
        <w:tc>
          <w:tcPr>
            <w:tcW w:w="180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100万元 ≤ M &lt; 500万元</w:t>
            </w:r>
          </w:p>
        </w:tc>
        <w:tc>
          <w:tcPr>
            <w:tcW w:w="1099"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0.10%  </w:t>
            </w:r>
          </w:p>
        </w:tc>
        <w:tc>
          <w:tcPr>
            <w:tcW w:w="78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313" w:type="pct"/>
            <w:vMerge w:val="continue"/>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认购费</w:t>
            </w:r>
          </w:p>
        </w:tc>
        <w:tc>
          <w:tcPr>
            <w:tcW w:w="180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M ≥ 500万元</w:t>
            </w:r>
          </w:p>
        </w:tc>
        <w:tc>
          <w:tcPr>
            <w:tcW w:w="1099"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  1000元/笔</w:t>
            </w:r>
          </w:p>
        </w:tc>
        <w:tc>
          <w:tcPr>
            <w:tcW w:w="78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313" w:type="pct"/>
            <w:vMerge w:val="restart"/>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申购费（前收费）</w:t>
            </w:r>
          </w:p>
        </w:tc>
        <w:tc>
          <w:tcPr>
            <w:tcW w:w="180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  M &lt; 100万元</w:t>
            </w:r>
          </w:p>
        </w:tc>
        <w:tc>
          <w:tcPr>
            <w:tcW w:w="1099"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0.40%  </w:t>
            </w:r>
          </w:p>
        </w:tc>
        <w:tc>
          <w:tcPr>
            <w:tcW w:w="78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313" w:type="pct"/>
            <w:vMerge w:val="continue"/>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申购费（前收费）</w:t>
            </w:r>
          </w:p>
        </w:tc>
        <w:tc>
          <w:tcPr>
            <w:tcW w:w="180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100万元 ≤ M &lt; 500万元</w:t>
            </w:r>
          </w:p>
        </w:tc>
        <w:tc>
          <w:tcPr>
            <w:tcW w:w="1099"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0.20%  </w:t>
            </w:r>
          </w:p>
        </w:tc>
        <w:tc>
          <w:tcPr>
            <w:tcW w:w="78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313" w:type="pct"/>
            <w:vMerge w:val="continue"/>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申购费（前收费）</w:t>
            </w:r>
          </w:p>
        </w:tc>
        <w:tc>
          <w:tcPr>
            <w:tcW w:w="180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M ≥ 500万元</w:t>
            </w:r>
          </w:p>
        </w:tc>
        <w:tc>
          <w:tcPr>
            <w:tcW w:w="1099"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  1000元/笔</w:t>
            </w:r>
          </w:p>
        </w:tc>
        <w:tc>
          <w:tcPr>
            <w:tcW w:w="78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313" w:type="pct"/>
            <w:vMerge w:val="restart"/>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赎回费</w:t>
            </w:r>
          </w:p>
        </w:tc>
        <w:tc>
          <w:tcPr>
            <w:tcW w:w="180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  N &lt; 7日 </w:t>
            </w:r>
          </w:p>
        </w:tc>
        <w:tc>
          <w:tcPr>
            <w:tcW w:w="1099"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1.50%  </w:t>
            </w:r>
          </w:p>
        </w:tc>
        <w:tc>
          <w:tcPr>
            <w:tcW w:w="78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313" w:type="pct"/>
            <w:vMerge w:val="continue"/>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赎回费</w:t>
            </w:r>
          </w:p>
        </w:tc>
        <w:tc>
          <w:tcPr>
            <w:tcW w:w="180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7日 ≤ N &lt; 30日 </w:t>
            </w:r>
          </w:p>
        </w:tc>
        <w:tc>
          <w:tcPr>
            <w:tcW w:w="1099"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0.20%  </w:t>
            </w:r>
          </w:p>
        </w:tc>
        <w:tc>
          <w:tcPr>
            <w:tcW w:w="78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313" w:type="pct"/>
            <w:vMerge w:val="continue"/>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赎回费</w:t>
            </w:r>
          </w:p>
        </w:tc>
        <w:tc>
          <w:tcPr>
            <w:tcW w:w="180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30日 ≤ N &lt; 180日 </w:t>
            </w:r>
          </w:p>
        </w:tc>
        <w:tc>
          <w:tcPr>
            <w:tcW w:w="1099"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0.10%  </w:t>
            </w:r>
          </w:p>
        </w:tc>
        <w:tc>
          <w:tcPr>
            <w:tcW w:w="78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1313" w:type="pct"/>
            <w:vMerge w:val="continue"/>
            <w:vAlign w:val="center"/>
          </w:tcPr>
          <w:p>
            <w:pPr>
              <w:spacing w:line="280" w:lineRule="exact"/>
              <w:jc w:val="center"/>
              <w:rPr>
                <w:rFonts w:ascii="仿宋" w:hAnsi="仿宋" w:eastAsia="仿宋" w:cs="方正仿宋简体"/>
                <w:b/>
                <w:bCs/>
                <w:iCs/>
                <w:color w:val="000000" w:themeColor="text1"/>
                <w14:textFill>
                  <w14:solidFill>
                    <w14:schemeClr w14:val="tx1"/>
                  </w14:solidFill>
                </w14:textFill>
              </w:rPr>
            </w:pPr>
            <w:r>
              <w:rPr>
                <w:rFonts w:hint="eastAsia" w:ascii="仿宋" w:hAnsi="仿宋" w:eastAsia="仿宋" w:cs="方正仿宋简体"/>
                <w:b/>
                <w:bCs/>
                <w:iCs/>
                <w:color w:val="000000" w:themeColor="text1"/>
                <w14:textFill>
                  <w14:solidFill>
                    <w14:schemeClr w14:val="tx1"/>
                  </w14:solidFill>
                </w14:textFill>
              </w:rPr>
              <w:t>赎回费</w:t>
            </w:r>
          </w:p>
        </w:tc>
        <w:tc>
          <w:tcPr>
            <w:tcW w:w="180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　 　 N ≥ 180日 </w:t>
            </w:r>
          </w:p>
        </w:tc>
        <w:tc>
          <w:tcPr>
            <w:tcW w:w="1099"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r>
              <w:rPr>
                <w:rFonts w:hint="eastAsia" w:ascii="仿宋" w:hAnsi="仿宋" w:eastAsia="仿宋" w:cs="方正仿宋简体"/>
                <w:bCs/>
                <w:iCs/>
                <w:color w:val="000000" w:themeColor="text1"/>
                <w14:textFill>
                  <w14:solidFill>
                    <w14:schemeClr w14:val="tx1"/>
                  </w14:solidFill>
                </w14:textFill>
              </w:rPr>
              <w:t xml:space="preserve">0.00%  </w:t>
            </w:r>
          </w:p>
        </w:tc>
        <w:tc>
          <w:tcPr>
            <w:tcW w:w="784" w:type="pct"/>
            <w:vAlign w:val="center"/>
          </w:tcPr>
          <w:p>
            <w:pPr>
              <w:spacing w:line="280" w:lineRule="exact"/>
              <w:jc w:val="center"/>
              <w:rPr>
                <w:rFonts w:ascii="仿宋" w:hAnsi="仿宋" w:eastAsia="仿宋" w:cs="方正仿宋简体"/>
                <w:bCs/>
                <w:iCs/>
                <w:color w:val="000000" w:themeColor="text1"/>
                <w14:textFill>
                  <w14:solidFill>
                    <w14:schemeClr w14:val="tx1"/>
                  </w14:solidFill>
                </w14:textFill>
              </w:rPr>
            </w:pPr>
          </w:p>
        </w:tc>
      </w:tr>
    </w:tbl>
    <w:p>
      <w:pPr>
        <w:autoSpaceDE w:val="0"/>
        <w:autoSpaceDN w:val="0"/>
        <w:adjustRightInd w:val="0"/>
        <w:spacing w:line="280" w:lineRule="exact"/>
        <w:jc w:val="left"/>
        <w:rPr>
          <w:rFonts w:ascii="仿宋" w:hAnsi="仿宋" w:eastAsia="仿宋" w:cs="方正仿宋简体"/>
          <w:iCs/>
          <w:color w:val="000000" w:themeColor="text1"/>
          <w14:textFill>
            <w14:solidFill>
              <w14:schemeClr w14:val="tx1"/>
            </w14:solidFill>
          </w14:textFill>
        </w:rPr>
      </w:pPr>
      <w:r>
        <w:rPr>
          <w:rFonts w:hint="eastAsia" w:ascii="仿宋" w:hAnsi="仿宋" w:eastAsia="仿宋" w:cs="方正仿宋简体"/>
          <w:iCs/>
          <w:color w:val="000000" w:themeColor="text1"/>
          <w14:textFill>
            <w14:solidFill>
              <w14:schemeClr w14:val="tx1"/>
            </w14:solidFill>
          </w14:textFill>
        </w:rPr>
        <w:t>注：1、本基金的认/申购费用由投资者承担，可用于市场推广、销售、注册登记等各项费用，不列入基金资产；基金销售机构可以对销售费用实行一定的优惠，具体以实际收取为准。</w:t>
      </w:r>
      <w:r>
        <w:rPr>
          <w:rFonts w:hint="eastAsia" w:ascii="仿宋" w:hAnsi="仿宋" w:eastAsia="仿宋" w:cs="方正仿宋简体"/>
          <w:iCs/>
          <w:color w:val="000000" w:themeColor="text1"/>
          <w14:textFill>
            <w14:solidFill>
              <w14:schemeClr w14:val="tx1"/>
            </w14:solidFill>
          </w14:textFill>
        </w:rPr>
        <w:br w:type="textWrapping"/>
      </w:r>
      <w:r>
        <w:rPr>
          <w:rFonts w:hint="eastAsia" w:ascii="仿宋" w:hAnsi="仿宋" w:eastAsia="仿宋" w:cs="方正仿宋简体"/>
          <w:iCs/>
          <w:color w:val="000000" w:themeColor="text1"/>
          <w14:textFill>
            <w14:solidFill>
              <w14:schemeClr w14:val="tx1"/>
            </w14:solidFill>
          </w14:textFill>
        </w:rPr>
        <w:t>2、本基金对通过本公司直销中心认/申购A类基金份额的特定投资者与除此之外的其他普通投资者实施差别的认/申购费率，特定投资者范围及具体费率优惠详见基金管理人发布的相关公告。</w:t>
      </w:r>
    </w:p>
    <w:p>
      <w:pPr>
        <w:spacing w:line="280" w:lineRule="exact"/>
        <w:rPr>
          <w:rFonts w:ascii="仿宋" w:hAnsi="仿宋" w:eastAsia="仿宋" w:cs="方正仿宋简体"/>
          <w:b/>
          <w:iCs/>
          <w:sz w:val="24"/>
          <w:szCs w:val="24"/>
        </w:rPr>
      </w:pPr>
    </w:p>
    <w:p>
      <w:pPr>
        <w:pStyle w:val="12"/>
        <w:numPr>
          <w:ilvl w:val="0"/>
          <w:numId w:val="4"/>
        </w:numPr>
        <w:spacing w:line="340" w:lineRule="exact"/>
        <w:ind w:firstLineChars="0"/>
        <w:outlineLvl w:val="1"/>
        <w:rPr>
          <w:rFonts w:ascii="仿宋" w:hAnsi="仿宋" w:eastAsia="仿宋" w:cs="方正仿宋简体"/>
          <w:b/>
          <w:iCs/>
          <w:sz w:val="24"/>
          <w:szCs w:val="24"/>
        </w:rPr>
      </w:pPr>
      <w:r>
        <w:rPr>
          <w:rFonts w:hint="eastAsia" w:ascii="仿宋" w:hAnsi="仿宋" w:eastAsia="仿宋" w:cs="方正仿宋简体"/>
          <w:b/>
          <w:iCs/>
          <w:sz w:val="24"/>
          <w:szCs w:val="24"/>
        </w:rPr>
        <w:t>基金运作相关费用</w:t>
      </w:r>
    </w:p>
    <w:p>
      <w:pPr>
        <w:autoSpaceDE w:val="0"/>
        <w:autoSpaceDN w:val="0"/>
        <w:adjustRightInd w:val="0"/>
        <w:spacing w:line="280" w:lineRule="exact"/>
        <w:jc w:val="left"/>
        <w:rPr>
          <w:rFonts w:ascii="仿宋" w:hAnsi="仿宋" w:eastAsia="仿宋" w:cs="方正仿宋简体"/>
          <w:iCs/>
        </w:rPr>
      </w:pPr>
      <w:r>
        <w:rPr>
          <w:rFonts w:hint="eastAsia" w:ascii="仿宋" w:hAnsi="仿宋" w:eastAsia="仿宋"/>
        </w:rPr>
        <w:t>以下</w:t>
      </w:r>
      <w:r>
        <w:rPr>
          <w:rFonts w:hint="eastAsia" w:ascii="仿宋" w:hAnsi="仿宋" w:eastAsia="仿宋" w:cs="方正仿宋简体"/>
          <w:iCs/>
        </w:rPr>
        <w:t>费用将从基金资产中扣除：</w:t>
      </w:r>
    </w:p>
    <w:tbl>
      <w:tblPr>
        <w:tblStyle w:val="7"/>
        <w:tblW w:w="5137" w:type="pct"/>
        <w:tblInd w:w="0" w:type="dxa"/>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Layout w:type="autofit"/>
        <w:tblCellMar>
          <w:top w:w="0" w:type="dxa"/>
          <w:left w:w="108" w:type="dxa"/>
          <w:bottom w:w="0" w:type="dxa"/>
          <w:right w:w="108" w:type="dxa"/>
        </w:tblCellMar>
      </w:tblPr>
      <w:tblGrid>
        <w:gridCol w:w="1478"/>
        <w:gridCol w:w="4726"/>
        <w:gridCol w:w="2552"/>
      </w:tblGrid>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844" w:type="pct"/>
            <w:vAlign w:val="center"/>
          </w:tcPr>
          <w:p>
            <w:pPr>
              <w:spacing w:line="280" w:lineRule="exact"/>
              <w:rPr>
                <w:rFonts w:ascii="仿宋" w:hAnsi="仿宋" w:eastAsia="仿宋" w:cs="方正仿宋简体"/>
                <w:b/>
                <w:bCs/>
              </w:rPr>
            </w:pPr>
            <w:r>
              <w:rPr>
                <w:rFonts w:hint="eastAsia" w:ascii="仿宋" w:hAnsi="仿宋" w:eastAsia="仿宋" w:cs="方正仿宋简体"/>
                <w:b/>
                <w:bCs/>
                <w:iCs/>
              </w:rPr>
              <w:t>费用类别</w:t>
            </w:r>
          </w:p>
        </w:tc>
        <w:tc>
          <w:tcPr>
            <w:tcW w:w="2699" w:type="pct"/>
            <w:vAlign w:val="center"/>
          </w:tcPr>
          <w:p>
            <w:pPr>
              <w:spacing w:line="280" w:lineRule="exact"/>
              <w:jc w:val="center"/>
              <w:rPr>
                <w:rFonts w:ascii="仿宋" w:hAnsi="仿宋" w:eastAsia="仿宋" w:cs="方正仿宋简体"/>
                <w:b/>
                <w:bCs/>
                <w:iCs/>
              </w:rPr>
            </w:pPr>
            <w:r>
              <w:rPr>
                <w:rFonts w:hint="eastAsia" w:ascii="仿宋" w:hAnsi="仿宋" w:eastAsia="仿宋" w:cs="方正仿宋简体"/>
                <w:b/>
                <w:bCs/>
                <w:iCs/>
              </w:rPr>
              <w:t>收费方式/年费率或金额</w:t>
            </w:r>
          </w:p>
        </w:tc>
        <w:tc>
          <w:tcPr>
            <w:tcW w:w="1457" w:type="pct"/>
            <w:tcBorders>
              <w:bottom w:val="dashSmallGap" w:color="7F7F7F" w:themeColor="background1" w:themeShade="80" w:sz="4" w:space="0"/>
            </w:tcBorders>
            <w:vAlign w:val="center"/>
          </w:tcPr>
          <w:p>
            <w:pPr>
              <w:spacing w:line="280" w:lineRule="exact"/>
              <w:jc w:val="center"/>
              <w:rPr>
                <w:rFonts w:ascii="仿宋" w:hAnsi="仿宋" w:eastAsia="仿宋" w:cs="方正仿宋简体"/>
                <w:b/>
                <w:bCs/>
                <w:iCs/>
              </w:rPr>
            </w:pPr>
            <w:r>
              <w:rPr>
                <w:rFonts w:hint="eastAsia" w:ascii="仿宋" w:hAnsi="仿宋" w:eastAsia="仿宋" w:cs="方正仿宋简体"/>
                <w:b/>
                <w:bCs/>
                <w:iCs/>
              </w:rPr>
              <w:t>收费方</w:t>
            </w: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844" w:type="pct"/>
            <w:vAlign w:val="center"/>
          </w:tcPr>
          <w:p>
            <w:pPr>
              <w:spacing w:line="280" w:lineRule="exact"/>
              <w:rPr>
                <w:rFonts w:ascii="仿宋" w:hAnsi="仿宋" w:eastAsia="仿宋" w:cs="方正仿宋简体"/>
                <w:bCs/>
                <w:iCs/>
              </w:rPr>
            </w:pPr>
            <w:r>
              <w:rPr>
                <w:rFonts w:hint="eastAsia" w:ascii="仿宋" w:hAnsi="仿宋" w:eastAsia="仿宋" w:cs="方正仿宋简体"/>
                <w:bCs/>
                <w:iCs/>
              </w:rPr>
              <w:t>管理费</w:t>
            </w:r>
          </w:p>
        </w:tc>
        <w:tc>
          <w:tcPr>
            <w:tcW w:w="2699" w:type="pct"/>
            <w:vAlign w:val="center"/>
          </w:tcPr>
          <w:p>
            <w:pPr>
              <w:spacing w:line="280" w:lineRule="exact"/>
              <w:jc w:val="center"/>
              <w:rPr>
                <w:rFonts w:ascii="仿宋" w:hAnsi="仿宋" w:eastAsia="仿宋" w:cs="方正仿宋简体"/>
                <w:bCs/>
                <w:iCs/>
              </w:rPr>
            </w:pPr>
            <w:r>
              <w:rPr>
                <w:rFonts w:hint="eastAsia" w:ascii="仿宋" w:hAnsi="仿宋" w:eastAsia="仿宋" w:cs="方正仿宋简体"/>
                <w:bCs/>
                <w:iCs/>
              </w:rPr>
              <w:t xml:space="preserve"> 0.30%</w:t>
            </w:r>
          </w:p>
        </w:tc>
        <w:tc>
          <w:tcPr>
            <w:tcW w:w="1457" w:type="pct"/>
            <w:tcBorders>
              <w:top w:val="dashSmallGap" w:color="7F7F7F" w:themeColor="background1" w:themeShade="80" w:sz="4" w:space="0"/>
            </w:tcBorders>
            <w:vAlign w:val="center"/>
          </w:tcPr>
          <w:p>
            <w:pPr>
              <w:spacing w:line="280" w:lineRule="exact"/>
              <w:jc w:val="center"/>
              <w:rPr>
                <w:rFonts w:ascii="仿宋" w:hAnsi="仿宋" w:eastAsia="仿宋" w:cs="方正仿宋简体"/>
                <w:bCs/>
                <w:iCs/>
              </w:rPr>
            </w:pPr>
            <w:r>
              <w:rPr>
                <w:rFonts w:hint="eastAsia" w:ascii="仿宋" w:hAnsi="仿宋" w:eastAsia="仿宋" w:cs="方正仿宋简体"/>
                <w:bCs/>
                <w:iCs/>
              </w:rPr>
              <w:t>基金管理人、销售机构</w:t>
            </w: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844" w:type="pct"/>
            <w:vAlign w:val="center"/>
          </w:tcPr>
          <w:p>
            <w:pPr>
              <w:spacing w:line="280" w:lineRule="exact"/>
              <w:rPr>
                <w:rFonts w:ascii="仿宋" w:hAnsi="仿宋" w:eastAsia="仿宋" w:cs="方正仿宋简体"/>
                <w:bCs/>
                <w:iCs/>
              </w:rPr>
            </w:pPr>
            <w:r>
              <w:rPr>
                <w:rFonts w:hint="eastAsia" w:ascii="仿宋" w:hAnsi="仿宋" w:eastAsia="仿宋" w:cs="方正仿宋简体"/>
                <w:bCs/>
                <w:iCs/>
              </w:rPr>
              <w:t>托管费</w:t>
            </w:r>
          </w:p>
        </w:tc>
        <w:tc>
          <w:tcPr>
            <w:tcW w:w="2699" w:type="pct"/>
            <w:vAlign w:val="center"/>
          </w:tcPr>
          <w:p>
            <w:pPr>
              <w:spacing w:line="280" w:lineRule="exact"/>
              <w:jc w:val="center"/>
              <w:rPr>
                <w:rFonts w:ascii="仿宋" w:hAnsi="仿宋" w:eastAsia="仿宋" w:cs="方正仿宋简体"/>
                <w:bCs/>
                <w:iCs/>
              </w:rPr>
            </w:pPr>
            <w:r>
              <w:rPr>
                <w:rFonts w:hint="eastAsia" w:ascii="仿宋" w:hAnsi="仿宋" w:eastAsia="仿宋" w:cs="方正仿宋简体"/>
                <w:bCs/>
                <w:iCs/>
              </w:rPr>
              <w:t xml:space="preserve"> 0.10%</w:t>
            </w:r>
          </w:p>
        </w:tc>
        <w:tc>
          <w:tcPr>
            <w:tcW w:w="1457" w:type="pct"/>
            <w:vAlign w:val="center"/>
          </w:tcPr>
          <w:p>
            <w:pPr>
              <w:spacing w:line="280" w:lineRule="exact"/>
              <w:jc w:val="center"/>
              <w:rPr>
                <w:rFonts w:ascii="仿宋" w:hAnsi="仿宋" w:eastAsia="仿宋" w:cs="方正仿宋简体"/>
                <w:bCs/>
                <w:iCs/>
              </w:rPr>
            </w:pPr>
            <w:r>
              <w:rPr>
                <w:rFonts w:hint="eastAsia" w:ascii="仿宋" w:hAnsi="仿宋" w:eastAsia="仿宋" w:cs="方正仿宋简体"/>
                <w:bCs/>
                <w:iCs/>
              </w:rPr>
              <w:t>基金托管人</w:t>
            </w: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844" w:type="pct"/>
            <w:vAlign w:val="center"/>
          </w:tcPr>
          <w:p>
            <w:pPr>
              <w:spacing w:line="280" w:lineRule="exact"/>
              <w:rPr>
                <w:rFonts w:ascii="仿宋" w:hAnsi="仿宋" w:eastAsia="仿宋" w:cs="方正仿宋简体"/>
                <w:iCs/>
              </w:rPr>
            </w:pPr>
            <w:r>
              <w:rPr>
                <w:rFonts w:hint="eastAsia" w:ascii="仿宋" w:hAnsi="仿宋" w:eastAsia="仿宋" w:cs="方正仿宋简体"/>
                <w:iCs/>
              </w:rPr>
              <w:t>审计费用</w:t>
            </w:r>
          </w:p>
        </w:tc>
        <w:tc>
          <w:tcPr>
            <w:tcW w:w="2699" w:type="pct"/>
            <w:vAlign w:val="center"/>
          </w:tcPr>
          <w:p>
            <w:pPr>
              <w:spacing w:line="280" w:lineRule="exact"/>
              <w:jc w:val="center"/>
              <w:rPr>
                <w:rFonts w:ascii="仿宋" w:hAnsi="仿宋" w:eastAsia="仿宋" w:cs="方正仿宋简体"/>
                <w:bCs/>
                <w:iCs/>
              </w:rPr>
            </w:pPr>
            <w:r>
              <w:rPr>
                <w:rFonts w:hint="eastAsia" w:ascii="仿宋" w:hAnsi="仿宋" w:eastAsia="仿宋"/>
                <w:color w:val="333399"/>
              </w:rPr>
              <w:t>-</w:t>
            </w:r>
          </w:p>
        </w:tc>
        <w:tc>
          <w:tcPr>
            <w:tcW w:w="1457" w:type="pct"/>
            <w:vAlign w:val="center"/>
          </w:tcPr>
          <w:p>
            <w:pPr>
              <w:spacing w:line="280" w:lineRule="exact"/>
              <w:jc w:val="center"/>
              <w:rPr>
                <w:rFonts w:ascii="仿宋" w:hAnsi="仿宋" w:eastAsia="仿宋" w:cs="方正仿宋简体"/>
                <w:bCs/>
                <w:iCs/>
              </w:rPr>
            </w:pPr>
            <w:r>
              <w:rPr>
                <w:rFonts w:hint="eastAsia" w:ascii="仿宋" w:hAnsi="仿宋" w:eastAsia="仿宋" w:cs="方正仿宋简体"/>
                <w:bCs/>
                <w:iCs/>
              </w:rPr>
              <w:t>会计师事务所</w:t>
            </w: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844" w:type="pct"/>
            <w:vAlign w:val="center"/>
          </w:tcPr>
          <w:p>
            <w:pPr>
              <w:spacing w:line="280" w:lineRule="exact"/>
              <w:rPr>
                <w:rFonts w:ascii="仿宋" w:hAnsi="仿宋" w:eastAsia="仿宋" w:cs="方正仿宋简体"/>
                <w:iCs/>
              </w:rPr>
            </w:pPr>
            <w:r>
              <w:rPr>
                <w:rFonts w:hint="eastAsia" w:ascii="仿宋" w:hAnsi="仿宋" w:eastAsia="仿宋" w:cs="方正仿宋简体"/>
                <w:iCs/>
              </w:rPr>
              <w:t>信息披露费</w:t>
            </w:r>
          </w:p>
        </w:tc>
        <w:tc>
          <w:tcPr>
            <w:tcW w:w="2699" w:type="pct"/>
            <w:vAlign w:val="center"/>
          </w:tcPr>
          <w:p>
            <w:pPr>
              <w:spacing w:line="280" w:lineRule="exact"/>
              <w:jc w:val="center"/>
              <w:rPr>
                <w:rFonts w:ascii="仿宋" w:hAnsi="仿宋" w:eastAsia="仿宋" w:cs="方正仿宋简体"/>
                <w:bCs/>
                <w:iCs/>
              </w:rPr>
            </w:pPr>
            <w:r>
              <w:rPr>
                <w:rFonts w:hint="eastAsia" w:ascii="仿宋" w:hAnsi="仿宋" w:eastAsia="仿宋"/>
                <w:color w:val="333399"/>
              </w:rPr>
              <w:t>-</w:t>
            </w:r>
          </w:p>
        </w:tc>
        <w:tc>
          <w:tcPr>
            <w:tcW w:w="1457" w:type="pct"/>
            <w:vAlign w:val="center"/>
          </w:tcPr>
          <w:p>
            <w:pPr>
              <w:spacing w:line="280" w:lineRule="exact"/>
              <w:jc w:val="center"/>
              <w:rPr>
                <w:rFonts w:ascii="仿宋" w:hAnsi="仿宋" w:eastAsia="仿宋" w:cs="方正仿宋简体"/>
                <w:bCs/>
                <w:iCs/>
              </w:rPr>
            </w:pPr>
            <w:r>
              <w:rPr>
                <w:rFonts w:hint="eastAsia" w:ascii="仿宋" w:hAnsi="仿宋" w:eastAsia="仿宋" w:cs="方正仿宋简体"/>
                <w:bCs/>
                <w:iCs/>
              </w:rPr>
              <w:t>规定披露报刊</w:t>
            </w:r>
          </w:p>
        </w:tc>
      </w:tr>
      <w:tr>
        <w:tblPrEx>
          <w:tblBorders>
            <w:top w:val="single" w:color="000000" w:sz="4" w:space="0"/>
            <w:left w:val="none" w:color="auto" w:sz="0" w:space="0"/>
            <w:bottom w:val="single" w:color="000000" w:sz="4" w:space="0"/>
            <w:right w:val="none" w:color="auto" w:sz="0" w:space="0"/>
            <w:insideH w:val="dashSmallGap" w:color="7F7F7F" w:themeColor="background1" w:themeShade="80" w:sz="4" w:space="0"/>
            <w:insideV w:val="none" w:color="auto" w:sz="0" w:space="0"/>
          </w:tblBorders>
          <w:tblCellMar>
            <w:top w:w="0" w:type="dxa"/>
            <w:left w:w="108" w:type="dxa"/>
            <w:bottom w:w="0" w:type="dxa"/>
            <w:right w:w="108" w:type="dxa"/>
          </w:tblCellMar>
        </w:tblPrEx>
        <w:trPr>
          <w:trHeight w:val="454" w:hRule="atLeast"/>
        </w:trPr>
        <w:tc>
          <w:tcPr>
            <w:tcW w:w="844" w:type="pct"/>
            <w:vAlign w:val="center"/>
          </w:tcPr>
          <w:p>
            <w:pPr>
              <w:spacing w:line="280" w:lineRule="exact"/>
              <w:rPr>
                <w:rFonts w:ascii="仿宋" w:hAnsi="仿宋" w:eastAsia="仿宋" w:cs="方正仿宋简体"/>
                <w:iCs/>
              </w:rPr>
            </w:pPr>
            <w:r>
              <w:rPr>
                <w:rFonts w:hint="eastAsia" w:ascii="仿宋" w:hAnsi="仿宋" w:eastAsia="仿宋" w:cs="方正仿宋简体"/>
                <w:iCs/>
              </w:rPr>
              <w:t>其他费用</w:t>
            </w:r>
          </w:p>
        </w:tc>
        <w:tc>
          <w:tcPr>
            <w:tcW w:w="2699" w:type="pct"/>
            <w:vAlign w:val="center"/>
          </w:tcPr>
          <w:p>
            <w:pPr>
              <w:spacing w:line="280" w:lineRule="exact"/>
              <w:jc w:val="center"/>
              <w:rPr>
                <w:rFonts w:ascii="仿宋" w:hAnsi="仿宋" w:eastAsia="仿宋" w:cs="方正仿宋简体"/>
                <w:bCs/>
                <w:iCs/>
              </w:rPr>
            </w:pPr>
            <w:r>
              <w:rPr>
                <w:rFonts w:hint="eastAsia" w:ascii="仿宋" w:hAnsi="仿宋" w:eastAsia="仿宋" w:cs="方正仿宋简体"/>
                <w:bCs/>
                <w:iCs/>
              </w:rPr>
              <w:t xml:space="preserve">《基金合同》生效后与基金相关的律师费、基金份额持有人大会费用、基金的证券交易费用、基金的银行汇划费用、基金相关账户的开户及维护费用等费用，以及按照国家有关规定和《基金合同》约定，可以在基金财产中列支的其他费用。费用类别详见本基金《基金合同》及《招募说明书》或其更新。  </w:t>
            </w:r>
          </w:p>
        </w:tc>
        <w:tc>
          <w:tcPr>
            <w:tcW w:w="1457" w:type="pct"/>
            <w:vAlign w:val="center"/>
          </w:tcPr>
          <w:p>
            <w:pPr>
              <w:spacing w:line="280" w:lineRule="exact"/>
              <w:jc w:val="center"/>
              <w:rPr>
                <w:rFonts w:ascii="仿宋" w:hAnsi="仿宋" w:eastAsia="仿宋" w:cs="方正仿宋简体"/>
                <w:bCs/>
                <w:iCs/>
              </w:rPr>
            </w:pPr>
            <w:r>
              <w:rPr>
                <w:rFonts w:hint="eastAsia" w:ascii="仿宋" w:hAnsi="仿宋" w:eastAsia="仿宋" w:cs="方正仿宋简体"/>
                <w:bCs/>
                <w:iCs/>
              </w:rPr>
              <w:t>相关服务机构</w:t>
            </w:r>
          </w:p>
        </w:tc>
      </w:tr>
    </w:tbl>
    <w:p>
      <w:pPr>
        <w:autoSpaceDE w:val="0"/>
        <w:autoSpaceDN w:val="0"/>
        <w:adjustRightInd w:val="0"/>
        <w:spacing w:line="280" w:lineRule="exact"/>
        <w:jc w:val="left"/>
        <w:rPr>
          <w:rFonts w:ascii="仿宋" w:hAnsi="仿宋" w:eastAsia="仿宋" w:cs="方正仿宋简体"/>
          <w:bCs/>
          <w:iCs/>
        </w:rPr>
      </w:pPr>
      <w:r>
        <w:rPr>
          <w:rFonts w:hint="eastAsia" w:ascii="仿宋" w:hAnsi="仿宋" w:eastAsia="仿宋" w:cs="方正仿宋简体"/>
          <w:bCs/>
          <w:iCs/>
        </w:rPr>
        <w:t>注： 本基金交易证券等产生的费用和税负，按实际发生额从基金资产扣除。</w:t>
      </w:r>
    </w:p>
    <w:p>
      <w:pPr>
        <w:autoSpaceDE w:val="0"/>
        <w:autoSpaceDN w:val="0"/>
        <w:adjustRightInd w:val="0"/>
        <w:spacing w:line="280" w:lineRule="exact"/>
        <w:jc w:val="left"/>
        <w:rPr>
          <w:rFonts w:ascii="仿宋" w:hAnsi="仿宋" w:eastAsia="仿宋" w:cs="仿宋_GB2312"/>
          <w:kern w:val="0"/>
          <w:szCs w:val="24"/>
        </w:rPr>
      </w:pPr>
    </w:p>
    <w:p>
      <w:pPr>
        <w:numPr>
          <w:ilvl w:val="0"/>
          <w:numId w:val="2"/>
        </w:numPr>
        <w:spacing w:line="280" w:lineRule="exact"/>
        <w:outlineLvl w:val="0"/>
        <w:rPr>
          <w:rFonts w:ascii="仿宋" w:hAnsi="仿宋" w:eastAsia="仿宋" w:cs="方正仿宋简体"/>
          <w:b/>
          <w:iCs/>
          <w:sz w:val="24"/>
          <w:szCs w:val="24"/>
        </w:rPr>
      </w:pPr>
      <w:r>
        <w:rPr>
          <w:rFonts w:hint="eastAsia" w:ascii="仿宋" w:hAnsi="仿宋" w:eastAsia="仿宋" w:cs="方正仿宋简体"/>
          <w:b/>
          <w:iCs/>
          <w:sz w:val="24"/>
          <w:szCs w:val="24"/>
        </w:rPr>
        <w:t>风险揭示与重要提示</w:t>
      </w:r>
    </w:p>
    <w:p>
      <w:pPr>
        <w:spacing w:line="280" w:lineRule="exact"/>
        <w:outlineLvl w:val="1"/>
        <w:rPr>
          <w:rFonts w:ascii="仿宋" w:hAnsi="仿宋" w:eastAsia="仿宋"/>
          <w:color w:val="0000FF"/>
          <w:kern w:val="0"/>
          <w:sz w:val="18"/>
        </w:rPr>
      </w:pPr>
      <w:r>
        <w:rPr>
          <w:rFonts w:hint="eastAsia" w:ascii="仿宋" w:hAnsi="仿宋" w:eastAsia="仿宋" w:cs="方正仿宋简体"/>
          <w:b/>
          <w:bCs/>
          <w:iCs/>
          <w:sz w:val="24"/>
          <w:szCs w:val="24"/>
        </w:rPr>
        <w:t>（一）风险揭示</w:t>
      </w:r>
    </w:p>
    <w:p>
      <w:pPr>
        <w:spacing w:line="280" w:lineRule="exact"/>
        <w:ind w:firstLine="420"/>
        <w:rPr>
          <w:rFonts w:ascii="仿宋" w:hAnsi="仿宋" w:eastAsia="仿宋" w:cs="方正仿宋简体"/>
          <w:iCs/>
        </w:rPr>
      </w:pPr>
      <w:r>
        <w:rPr>
          <w:rFonts w:hint="eastAsia" w:ascii="仿宋" w:hAnsi="仿宋" w:eastAsia="仿宋" w:cs="方正仿宋简体"/>
          <w:iCs/>
        </w:rPr>
        <w:t>本基金不提供任何保证。投资者可能损失投资本金。</w:t>
      </w:r>
    </w:p>
    <w:p>
      <w:pPr>
        <w:spacing w:line="280" w:lineRule="exact"/>
        <w:ind w:firstLine="420"/>
        <w:rPr>
          <w:rFonts w:ascii="仿宋" w:hAnsi="仿宋" w:eastAsia="仿宋" w:cs="方正仿宋简体"/>
          <w:iCs/>
        </w:rPr>
      </w:pPr>
      <w:r>
        <w:rPr>
          <w:rFonts w:hint="eastAsia" w:ascii="仿宋" w:hAnsi="仿宋" w:eastAsia="仿宋" w:cs="方正仿宋简体"/>
          <w:iCs/>
        </w:rPr>
        <w:t>投资有风险，投资者购买基金时应认真阅读本基金的《招募说明书》等销售文件。</w:t>
      </w:r>
    </w:p>
    <w:p>
      <w:pPr>
        <w:spacing w:line="280" w:lineRule="exact"/>
        <w:ind w:firstLine="420"/>
        <w:rPr>
          <w:rFonts w:ascii="仿宋" w:hAnsi="仿宋" w:eastAsia="仿宋" w:cs="方正仿宋简体"/>
          <w:iCs/>
        </w:rPr>
      </w:pPr>
      <w:r>
        <w:rPr>
          <w:rFonts w:hint="eastAsia" w:ascii="仿宋" w:hAnsi="仿宋" w:eastAsia="仿宋" w:cs="方正仿宋简体"/>
          <w:iCs/>
        </w:rPr>
        <w:t>1、本基金特有风险</w:t>
      </w:r>
    </w:p>
    <w:p>
      <w:pPr>
        <w:spacing w:line="280" w:lineRule="exact"/>
        <w:ind w:firstLine="420"/>
        <w:rPr>
          <w:rFonts w:ascii="仿宋" w:hAnsi="仿宋" w:eastAsia="仿宋" w:cs="方正仿宋简体"/>
          <w:iCs/>
        </w:rPr>
      </w:pPr>
      <w:r>
        <w:rPr>
          <w:rFonts w:hint="eastAsia" w:ascii="仿宋" w:hAnsi="仿宋" w:eastAsia="仿宋" w:cs="方正仿宋简体"/>
          <w:iCs/>
        </w:rPr>
        <w:t>（1）本基金是债券型基金，主要投资债券，因此债券市场的变化会影响到本基金的业绩表现。</w:t>
      </w:r>
    </w:p>
    <w:p>
      <w:pPr>
        <w:spacing w:line="280" w:lineRule="exact"/>
        <w:ind w:firstLine="420"/>
        <w:rPr>
          <w:rFonts w:ascii="仿宋" w:hAnsi="仿宋" w:eastAsia="仿宋" w:cs="方正仿宋简体"/>
          <w:iCs/>
        </w:rPr>
      </w:pPr>
      <w:r>
        <w:rPr>
          <w:rFonts w:hint="eastAsia" w:ascii="仿宋" w:hAnsi="仿宋" w:eastAsia="仿宋" w:cs="方正仿宋简体"/>
          <w:iCs/>
        </w:rPr>
        <w:t>（2）本基金投资于国债期货、信用衍生品等金融衍生品可能给本基金带来额外风险。投资国债期货的风险包括市场风险、基差风险、流动性风险等；本基金可能投资信用衍生品，信用衍生品的投资可能面临流动性风险、偿付风险以及价格波动风险。</w:t>
      </w:r>
    </w:p>
    <w:p>
      <w:pPr>
        <w:spacing w:line="280" w:lineRule="exact"/>
        <w:ind w:firstLine="420"/>
        <w:rPr>
          <w:rFonts w:ascii="仿宋" w:hAnsi="仿宋" w:eastAsia="仿宋" w:cs="方正仿宋简体"/>
          <w:iCs/>
        </w:rPr>
      </w:pPr>
      <w:r>
        <w:rPr>
          <w:rFonts w:hint="eastAsia" w:ascii="仿宋" w:hAnsi="仿宋" w:eastAsia="仿宋" w:cs="方正仿宋简体"/>
          <w:iCs/>
        </w:rPr>
        <w:t>（3）投资资产支持证券的风险：主要包括流动性风险、利率风险及评级风险等。由于资产支持证券的投资收益来自于基础资产产生的现金流或剩余权益，因此资产支持证券投资还面临基础资产特定原始权益人的破产风险及现金流预测风险等与基础资产相关的风险。</w:t>
      </w:r>
    </w:p>
    <w:p>
      <w:pPr>
        <w:spacing w:line="280" w:lineRule="exact"/>
        <w:ind w:firstLine="420"/>
        <w:rPr>
          <w:rFonts w:ascii="仿宋" w:hAnsi="仿宋" w:eastAsia="仿宋" w:cs="方正仿宋简体"/>
          <w:iCs/>
        </w:rPr>
      </w:pPr>
      <w:r>
        <w:rPr>
          <w:rFonts w:hint="eastAsia" w:ascii="仿宋" w:hAnsi="仿宋" w:eastAsia="仿宋" w:cs="方正仿宋简体"/>
          <w:iCs/>
        </w:rPr>
        <w:t>2、市场风险：证券市场价格受到经济因素、政治因素、投资心理和交易制度等各种因素的影响，导致基金收益水平变化而产生的风险。</w:t>
      </w:r>
    </w:p>
    <w:p>
      <w:pPr>
        <w:spacing w:line="280" w:lineRule="exact"/>
        <w:ind w:firstLine="420"/>
        <w:rPr>
          <w:rFonts w:ascii="仿宋" w:hAnsi="仿宋" w:eastAsia="仿宋" w:cs="方正仿宋简体"/>
          <w:iCs/>
        </w:rPr>
      </w:pPr>
      <w:r>
        <w:rPr>
          <w:rFonts w:hint="eastAsia" w:ascii="仿宋" w:hAnsi="仿宋" w:eastAsia="仿宋" w:cs="方正仿宋简体"/>
          <w:iCs/>
        </w:rPr>
        <w:t>3、开放式基金所共有的管理风险、职业道德风险、流动性风险、合规性风险、投资管理风险和本基金法律文件风险收益特征表述与销售机构基金风险评价可能不一致的风险等。</w:t>
      </w:r>
    </w:p>
    <w:p>
      <w:pPr>
        <w:spacing w:line="280" w:lineRule="exact"/>
        <w:ind w:firstLine="420"/>
        <w:rPr>
          <w:rFonts w:ascii="仿宋" w:hAnsi="仿宋" w:eastAsia="仿宋" w:cs="方正仿宋简体"/>
          <w:iCs/>
        </w:rPr>
      </w:pPr>
      <w:r>
        <w:rPr>
          <w:rFonts w:hint="eastAsia" w:ascii="仿宋" w:hAnsi="仿宋" w:eastAsia="仿宋" w:cs="方正仿宋简体"/>
          <w:iCs/>
        </w:rPr>
        <w:t>4、其他风险</w:t>
      </w:r>
    </w:p>
    <w:p>
      <w:pPr>
        <w:spacing w:line="280" w:lineRule="exact"/>
        <w:outlineLvl w:val="1"/>
        <w:rPr>
          <w:rFonts w:ascii="仿宋" w:hAnsi="仿宋" w:eastAsia="仿宋" w:cs="方正仿宋简体"/>
          <w:b/>
          <w:iCs/>
          <w:sz w:val="22"/>
          <w:szCs w:val="24"/>
        </w:rPr>
      </w:pPr>
      <w:r>
        <w:rPr>
          <w:rFonts w:hint="eastAsia" w:ascii="仿宋" w:hAnsi="仿宋" w:eastAsia="仿宋" w:cs="方正仿宋简体"/>
          <w:b/>
          <w:iCs/>
          <w:sz w:val="24"/>
          <w:szCs w:val="24"/>
        </w:rPr>
        <w:t>（二）重要提示</w:t>
      </w:r>
    </w:p>
    <w:p>
      <w:pPr>
        <w:spacing w:line="280" w:lineRule="exact"/>
        <w:ind w:firstLine="420"/>
        <w:rPr>
          <w:rFonts w:ascii="仿宋" w:hAnsi="仿宋" w:eastAsia="仿宋" w:cs="方正仿宋简体"/>
          <w:iCs/>
        </w:rPr>
      </w:pPr>
      <w:r>
        <w:rPr>
          <w:rFonts w:hint="eastAsia" w:ascii="仿宋" w:hAnsi="仿宋" w:eastAsia="仿宋" w:cs="方正仿宋简体"/>
          <w:iCs/>
        </w:rPr>
        <w:t>中国证监会对本基金募集的注册，并不表明其对本基金的价值和收益作出实质性判断或保证，也不表明投资于本基金没有风险。</w:t>
      </w:r>
    </w:p>
    <w:p>
      <w:pPr>
        <w:spacing w:line="280" w:lineRule="exact"/>
        <w:ind w:firstLine="420"/>
        <w:rPr>
          <w:rFonts w:ascii="仿宋" w:hAnsi="仿宋" w:eastAsia="仿宋" w:cs="方正仿宋简体"/>
          <w:iCs/>
        </w:rPr>
      </w:pPr>
      <w:r>
        <w:rPr>
          <w:rFonts w:hint="eastAsia" w:ascii="仿宋" w:hAnsi="仿宋" w:eastAsia="仿宋" w:cs="方正仿宋简体"/>
          <w:iCs/>
        </w:rPr>
        <w:t>基金管理人依照恪尽职守、诚实信用、谨慎勤勉的原则管理和运用基金财产，但不保证基金一定盈利，也不保证最低收益。</w:t>
      </w:r>
    </w:p>
    <w:p>
      <w:pPr>
        <w:spacing w:line="280" w:lineRule="exact"/>
        <w:ind w:firstLine="420"/>
        <w:rPr>
          <w:rFonts w:ascii="仿宋" w:hAnsi="仿宋" w:eastAsia="仿宋" w:cs="方正仿宋简体"/>
          <w:iCs/>
        </w:rPr>
      </w:pPr>
      <w:r>
        <w:rPr>
          <w:rFonts w:hint="eastAsia" w:ascii="仿宋" w:hAnsi="仿宋" w:eastAsia="仿宋" w:cs="方正仿宋简体"/>
          <w:iCs/>
        </w:rPr>
        <w:t>基金投资者自依基金合同取得基金份额，即成为基金份额持有人和基金合同的当事人。</w:t>
      </w:r>
    </w:p>
    <w:p>
      <w:pPr>
        <w:spacing w:line="280" w:lineRule="exact"/>
        <w:ind w:firstLine="420"/>
        <w:rPr>
          <w:rFonts w:ascii="仿宋" w:hAnsi="仿宋" w:eastAsia="仿宋" w:cs="方正仿宋简体"/>
          <w:iCs/>
        </w:rPr>
      </w:pPr>
      <w:r>
        <w:rPr>
          <w:rFonts w:hint="eastAsia" w:ascii="仿宋" w:hAnsi="仿宋" w:eastAsia="仿宋" w:cs="方正仿宋简体"/>
          <w:iCs/>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及定期报告等。</w:t>
      </w:r>
    </w:p>
    <w:p>
      <w:pPr>
        <w:spacing w:line="280" w:lineRule="exact"/>
        <w:ind w:firstLine="420"/>
        <w:rPr>
          <w:rFonts w:ascii="仿宋" w:hAnsi="仿宋" w:eastAsia="仿宋" w:cs="方正仿宋简体"/>
          <w:iCs/>
        </w:rPr>
      </w:pPr>
      <w:r>
        <w:rPr>
          <w:rFonts w:hint="eastAsia" w:ascii="仿宋" w:hAnsi="仿宋" w:eastAsia="仿宋" w:cs="方正仿宋简体"/>
          <w:iCs/>
        </w:rPr>
        <w:t>如投资者对基金合同有争议的，争议解决处理方式详见基金合同“争议的处理和适用的法律”部分或相关章节。</w:t>
      </w:r>
    </w:p>
    <w:p>
      <w:pPr>
        <w:autoSpaceDE w:val="0"/>
        <w:autoSpaceDN w:val="0"/>
        <w:adjustRightInd w:val="0"/>
        <w:spacing w:line="280" w:lineRule="exact"/>
        <w:jc w:val="left"/>
        <w:rPr>
          <w:rFonts w:ascii="仿宋" w:hAnsi="仿宋" w:eastAsia="仿宋"/>
        </w:rPr>
      </w:pPr>
    </w:p>
    <w:p>
      <w:pPr>
        <w:numPr>
          <w:ilvl w:val="0"/>
          <w:numId w:val="2"/>
        </w:numPr>
        <w:spacing w:line="280" w:lineRule="exact"/>
        <w:outlineLvl w:val="0"/>
        <w:rPr>
          <w:rFonts w:ascii="仿宋" w:hAnsi="仿宋" w:eastAsia="仿宋" w:cs="方正仿宋简体"/>
          <w:b/>
          <w:iCs/>
          <w:sz w:val="24"/>
          <w:szCs w:val="24"/>
        </w:rPr>
      </w:pPr>
      <w:r>
        <w:rPr>
          <w:rFonts w:hint="eastAsia" w:ascii="仿宋" w:hAnsi="仿宋" w:eastAsia="仿宋" w:cs="方正仿宋简体"/>
          <w:b/>
          <w:iCs/>
          <w:sz w:val="24"/>
          <w:szCs w:val="24"/>
        </w:rPr>
        <w:t>其他资料查询方式</w:t>
      </w:r>
    </w:p>
    <w:p>
      <w:pPr>
        <w:spacing w:line="280" w:lineRule="exact"/>
        <w:ind w:firstLine="420"/>
        <w:rPr>
          <w:rFonts w:ascii="仿宋" w:hAnsi="仿宋" w:eastAsia="仿宋" w:cs="方正仿宋简体"/>
          <w:iCs/>
        </w:rPr>
      </w:pPr>
      <w:r>
        <w:rPr>
          <w:rFonts w:hint="eastAsia" w:ascii="仿宋" w:hAnsi="仿宋" w:eastAsia="仿宋" w:cs="方正仿宋简体"/>
          <w:iCs/>
        </w:rPr>
        <w:t>以下资料详见广发基金官方网站［www.gffunds.com.cn］［客服电话：95105828或020-83936999］</w:t>
      </w:r>
    </w:p>
    <w:p>
      <w:pPr>
        <w:spacing w:line="280" w:lineRule="exact"/>
        <w:ind w:firstLine="420"/>
        <w:rPr>
          <w:rFonts w:ascii="仿宋" w:hAnsi="仿宋" w:eastAsia="仿宋" w:cs="方正仿宋简体"/>
          <w:iCs/>
        </w:rPr>
      </w:pPr>
      <w:r>
        <w:rPr>
          <w:rFonts w:hint="eastAsia" w:ascii="仿宋" w:hAnsi="仿宋" w:eastAsia="仿宋" w:cs="方正仿宋简体"/>
          <w:iCs/>
        </w:rPr>
        <w:t>（1）《广发景裕纯债债券型证券投资基金基金合同》</w:t>
      </w:r>
    </w:p>
    <w:p>
      <w:pPr>
        <w:spacing w:line="280" w:lineRule="exact"/>
        <w:ind w:firstLine="420"/>
        <w:rPr>
          <w:rFonts w:ascii="仿宋" w:hAnsi="仿宋" w:eastAsia="仿宋" w:cs="方正仿宋简体"/>
          <w:iCs/>
        </w:rPr>
      </w:pPr>
      <w:r>
        <w:rPr>
          <w:rFonts w:hint="eastAsia" w:ascii="仿宋" w:hAnsi="仿宋" w:eastAsia="仿宋" w:cs="方正仿宋简体"/>
          <w:iCs/>
        </w:rPr>
        <w:t>（2）《广发景裕纯债债券型证券投资基金托管协议》</w:t>
      </w:r>
    </w:p>
    <w:p>
      <w:pPr>
        <w:spacing w:line="280" w:lineRule="exact"/>
        <w:ind w:firstLine="420"/>
        <w:rPr>
          <w:rFonts w:ascii="仿宋" w:hAnsi="仿宋" w:eastAsia="仿宋" w:cs="方正仿宋简体"/>
          <w:iCs/>
        </w:rPr>
      </w:pPr>
      <w:r>
        <w:rPr>
          <w:rFonts w:hint="eastAsia" w:ascii="仿宋" w:hAnsi="仿宋" w:eastAsia="仿宋" w:cs="方正仿宋简体"/>
          <w:iCs/>
        </w:rPr>
        <w:t>（3）《广发景裕纯债债券型证券投资基金招募说明书》</w:t>
      </w:r>
    </w:p>
    <w:p>
      <w:pPr>
        <w:spacing w:line="280" w:lineRule="exact"/>
        <w:ind w:firstLine="420"/>
        <w:rPr>
          <w:rFonts w:ascii="仿宋" w:hAnsi="仿宋" w:eastAsia="仿宋" w:cs="方正仿宋简体"/>
          <w:iCs/>
        </w:rPr>
      </w:pPr>
      <w:r>
        <w:rPr>
          <w:rFonts w:hint="eastAsia" w:ascii="仿宋" w:hAnsi="仿宋" w:eastAsia="仿宋" w:cs="方正仿宋简体"/>
          <w:iCs/>
        </w:rPr>
        <w:t>（4）定期报告，包括基金季度报告、中期报告和年度报告</w:t>
      </w:r>
    </w:p>
    <w:p>
      <w:pPr>
        <w:spacing w:line="280" w:lineRule="exact"/>
        <w:ind w:firstLine="420"/>
        <w:rPr>
          <w:rFonts w:ascii="仿宋" w:hAnsi="仿宋" w:eastAsia="仿宋" w:cs="方正仿宋简体"/>
          <w:iCs/>
        </w:rPr>
      </w:pPr>
      <w:r>
        <w:rPr>
          <w:rFonts w:hint="eastAsia" w:ascii="仿宋" w:hAnsi="仿宋" w:eastAsia="仿宋" w:cs="方正仿宋简体"/>
          <w:iCs/>
        </w:rPr>
        <w:t>（5）基金份额净值</w:t>
      </w:r>
    </w:p>
    <w:p>
      <w:pPr>
        <w:spacing w:line="280" w:lineRule="exact"/>
        <w:ind w:firstLine="420"/>
        <w:rPr>
          <w:rFonts w:ascii="仿宋" w:hAnsi="仿宋" w:eastAsia="仿宋" w:cs="方正仿宋简体"/>
          <w:iCs/>
        </w:rPr>
      </w:pPr>
      <w:r>
        <w:rPr>
          <w:rFonts w:hint="eastAsia" w:ascii="仿宋" w:hAnsi="仿宋" w:eastAsia="仿宋" w:cs="方正仿宋简体"/>
          <w:iCs/>
        </w:rPr>
        <w:t>（6）基金销售机构及联系方式</w:t>
      </w:r>
    </w:p>
    <w:p>
      <w:pPr>
        <w:spacing w:line="280" w:lineRule="exact"/>
        <w:ind w:firstLine="420"/>
        <w:rPr>
          <w:rFonts w:ascii="仿宋" w:hAnsi="仿宋" w:eastAsia="仿宋" w:cs="方正仿宋简体"/>
          <w:iCs/>
        </w:rPr>
      </w:pPr>
      <w:r>
        <w:rPr>
          <w:rFonts w:hint="eastAsia" w:ascii="仿宋" w:hAnsi="仿宋" w:eastAsia="仿宋" w:cs="方正仿宋简体"/>
          <w:iCs/>
        </w:rPr>
        <w:t>（7）其他重要资料</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5751033"/>
      <w:docPartObj>
        <w:docPartGallery w:val="AutoText"/>
      </w:docPartObj>
    </w:sdtPr>
    <w:sdtContent>
      <w:sdt>
        <w:sdtPr>
          <w:id w:val="98381352"/>
          <w:docPartObj>
            <w:docPartGallery w:val="AutoText"/>
          </w:docPartObj>
        </w:sdtPr>
        <w:sdtContent>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23</w:t>
            </w:r>
            <w:r>
              <w:rPr>
                <w:b/>
                <w:bCs/>
                <w:sz w:val="24"/>
                <w:szCs w:val="24"/>
              </w:rPr>
              <w:fldChar w:fldCharType="end"/>
            </w:r>
          </w:p>
        </w:sdtContent>
      </w:sdt>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716C97"/>
    <w:multiLevelType w:val="multilevel"/>
    <w:tmpl w:val="1B716C97"/>
    <w:lvl w:ilvl="0" w:tentative="0">
      <w:start w:val="1"/>
      <w:numFmt w:val="decimal"/>
      <w:pStyle w:val="11"/>
      <w:lvlText w:val="§%1"/>
      <w:lvlJc w:val="left"/>
      <w:pPr>
        <w:ind w:left="420" w:hanging="420"/>
      </w:pPr>
      <w:rPr>
        <w:rFonts w:hint="default" w:eastAsia="宋体"/>
        <w:b/>
        <w:i w:val="0"/>
        <w:sz w:val="28"/>
      </w:rPr>
    </w:lvl>
    <w:lvl w:ilvl="1" w:tentative="0">
      <w:start w:val="1"/>
      <w:numFmt w:val="decimal"/>
      <w:pStyle w:val="13"/>
      <w:suff w:val="space"/>
      <w:lvlText w:val="%1.%2"/>
      <w:lvlJc w:val="left"/>
      <w:pPr>
        <w:ind w:left="284" w:hanging="284"/>
      </w:pPr>
      <w:rPr>
        <w:rFonts w:hint="eastAsia"/>
      </w:rPr>
    </w:lvl>
    <w:lvl w:ilvl="2" w:tentative="0">
      <w:start w:val="1"/>
      <w:numFmt w:val="decimal"/>
      <w:pStyle w:val="14"/>
      <w:suff w:val="space"/>
      <w:lvlText w:val="%1.%2.%3"/>
      <w:lvlJc w:val="left"/>
      <w:pPr>
        <w:ind w:left="284" w:hanging="284"/>
      </w:pPr>
      <w:rPr>
        <w:rFonts w:hint="eastAsia"/>
      </w:rPr>
    </w:lvl>
    <w:lvl w:ilvl="3" w:tentative="0">
      <w:start w:val="1"/>
      <w:numFmt w:val="decimal"/>
      <w:pStyle w:val="15"/>
      <w:suff w:val="space"/>
      <w:lvlText w:val="%1.%2.%3.%4"/>
      <w:lvlJc w:val="left"/>
      <w:pPr>
        <w:ind w:left="284" w:hanging="284"/>
      </w:pPr>
      <w:rPr>
        <w:rFonts w:hint="eastAsia"/>
      </w:rPr>
    </w:lvl>
    <w:lvl w:ilvl="4" w:tentative="0">
      <w:start w:val="1"/>
      <w:numFmt w:val="decimal"/>
      <w:pStyle w:val="16"/>
      <w:suff w:val="space"/>
      <w:lvlText w:val="%1.%2.%3.%4.%5"/>
      <w:lvlJc w:val="left"/>
      <w:pPr>
        <w:ind w:left="284" w:hanging="284"/>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
    <w:nsid w:val="478E6770"/>
    <w:multiLevelType w:val="multilevel"/>
    <w:tmpl w:val="478E6770"/>
    <w:lvl w:ilvl="0" w:tentative="0">
      <w:start w:val="1"/>
      <w:numFmt w:val="japaneseCounting"/>
      <w:lvlText w:val="（%1）"/>
      <w:lvlJc w:val="left"/>
      <w:pPr>
        <w:ind w:left="765" w:hanging="76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C33CF0"/>
    <w:multiLevelType w:val="singleLevel"/>
    <w:tmpl w:val="5AC33CF0"/>
    <w:lvl w:ilvl="0" w:tentative="0">
      <w:start w:val="1"/>
      <w:numFmt w:val="chineseCounting"/>
      <w:suff w:val="nothing"/>
      <w:lvlText w:val="%1、"/>
      <w:lvlJc w:val="left"/>
      <w:rPr>
        <w:rFonts w:asciiTheme="minorEastAsia" w:hAnsiTheme="minorEastAsia" w:eastAsiaTheme="minorEastAsia"/>
      </w:rPr>
    </w:lvl>
  </w:abstractNum>
  <w:abstractNum w:abstractNumId="3">
    <w:nsid w:val="7D0D3582"/>
    <w:multiLevelType w:val="multilevel"/>
    <w:tmpl w:val="7D0D3582"/>
    <w:lvl w:ilvl="0" w:tentative="0">
      <w:start w:val="1"/>
      <w:numFmt w:val="chineseCountingThousand"/>
      <w:suff w:val="space"/>
      <w:lvlText w:val="(%1)"/>
      <w:lvlJc w:val="left"/>
      <w:pPr>
        <w:ind w:left="284" w:hanging="284"/>
      </w:pPr>
      <w:rPr>
        <w:rFonts w:hint="eastAsia" w:eastAsia="宋体" w:asciiTheme="minorEastAsia" w:hAnsiTheme="minorEastAsia"/>
        <w:b/>
      </w:r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8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4C2C"/>
    <w:rsid w:val="0006546B"/>
    <w:rsid w:val="00065CA6"/>
    <w:rsid w:val="0006758E"/>
    <w:rsid w:val="000676AA"/>
    <w:rsid w:val="00070564"/>
    <w:rsid w:val="00071412"/>
    <w:rsid w:val="00075382"/>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4934"/>
    <w:rsid w:val="000B672F"/>
    <w:rsid w:val="000C0D50"/>
    <w:rsid w:val="000C0D79"/>
    <w:rsid w:val="000C3D2A"/>
    <w:rsid w:val="000C3D96"/>
    <w:rsid w:val="000C4A85"/>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4DE"/>
    <w:rsid w:val="00163632"/>
    <w:rsid w:val="0016394B"/>
    <w:rsid w:val="00163A1B"/>
    <w:rsid w:val="00165561"/>
    <w:rsid w:val="00165844"/>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FD1"/>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65E"/>
    <w:rsid w:val="00231814"/>
    <w:rsid w:val="00233FB5"/>
    <w:rsid w:val="002340C5"/>
    <w:rsid w:val="002343A0"/>
    <w:rsid w:val="002343D4"/>
    <w:rsid w:val="002349DA"/>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4EBF"/>
    <w:rsid w:val="00355045"/>
    <w:rsid w:val="003553B7"/>
    <w:rsid w:val="0035595E"/>
    <w:rsid w:val="00357BB4"/>
    <w:rsid w:val="00360359"/>
    <w:rsid w:val="00360E9D"/>
    <w:rsid w:val="00364FA7"/>
    <w:rsid w:val="003665BF"/>
    <w:rsid w:val="003667EC"/>
    <w:rsid w:val="00367E76"/>
    <w:rsid w:val="00367F65"/>
    <w:rsid w:val="00370C84"/>
    <w:rsid w:val="003712CC"/>
    <w:rsid w:val="00373CC2"/>
    <w:rsid w:val="003744FE"/>
    <w:rsid w:val="0037519F"/>
    <w:rsid w:val="00375483"/>
    <w:rsid w:val="003800E8"/>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4F18"/>
    <w:rsid w:val="003E66A5"/>
    <w:rsid w:val="003E6956"/>
    <w:rsid w:val="003E78BD"/>
    <w:rsid w:val="003E7F21"/>
    <w:rsid w:val="003F1DE3"/>
    <w:rsid w:val="003F324E"/>
    <w:rsid w:val="003F42E1"/>
    <w:rsid w:val="003F56C3"/>
    <w:rsid w:val="003F6D43"/>
    <w:rsid w:val="003F6EF3"/>
    <w:rsid w:val="00401E99"/>
    <w:rsid w:val="00402B28"/>
    <w:rsid w:val="00403885"/>
    <w:rsid w:val="00407D4D"/>
    <w:rsid w:val="004103D9"/>
    <w:rsid w:val="004106A5"/>
    <w:rsid w:val="00411B1E"/>
    <w:rsid w:val="00411C1F"/>
    <w:rsid w:val="004129B0"/>
    <w:rsid w:val="00415142"/>
    <w:rsid w:val="00416169"/>
    <w:rsid w:val="00417B28"/>
    <w:rsid w:val="0042020C"/>
    <w:rsid w:val="00420623"/>
    <w:rsid w:val="00421441"/>
    <w:rsid w:val="004225D8"/>
    <w:rsid w:val="004241F4"/>
    <w:rsid w:val="00425E03"/>
    <w:rsid w:val="00425F60"/>
    <w:rsid w:val="00426A9B"/>
    <w:rsid w:val="00430064"/>
    <w:rsid w:val="00430BE8"/>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A7D45"/>
    <w:rsid w:val="004B35A1"/>
    <w:rsid w:val="004B3925"/>
    <w:rsid w:val="004B5C77"/>
    <w:rsid w:val="004B5D91"/>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C70"/>
    <w:rsid w:val="00555F7D"/>
    <w:rsid w:val="005610BB"/>
    <w:rsid w:val="005622C8"/>
    <w:rsid w:val="005626F8"/>
    <w:rsid w:val="00562E85"/>
    <w:rsid w:val="00563BCF"/>
    <w:rsid w:val="00563EC0"/>
    <w:rsid w:val="0056468E"/>
    <w:rsid w:val="00565C2C"/>
    <w:rsid w:val="00571BD4"/>
    <w:rsid w:val="00571F09"/>
    <w:rsid w:val="00572E76"/>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316A"/>
    <w:rsid w:val="00605BCB"/>
    <w:rsid w:val="00605F01"/>
    <w:rsid w:val="006069E6"/>
    <w:rsid w:val="006112A2"/>
    <w:rsid w:val="00611FAF"/>
    <w:rsid w:val="0061345D"/>
    <w:rsid w:val="00614CA3"/>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3FB"/>
    <w:rsid w:val="0066183D"/>
    <w:rsid w:val="00661D67"/>
    <w:rsid w:val="006633F2"/>
    <w:rsid w:val="006646B8"/>
    <w:rsid w:val="00665726"/>
    <w:rsid w:val="006658F5"/>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5C1"/>
    <w:rsid w:val="006A476E"/>
    <w:rsid w:val="006A48A9"/>
    <w:rsid w:val="006A4E44"/>
    <w:rsid w:val="006A6105"/>
    <w:rsid w:val="006A6462"/>
    <w:rsid w:val="006A668D"/>
    <w:rsid w:val="006A71AF"/>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632"/>
    <w:rsid w:val="007B1E0F"/>
    <w:rsid w:val="007B23C7"/>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071DB"/>
    <w:rsid w:val="008122BD"/>
    <w:rsid w:val="00812E6B"/>
    <w:rsid w:val="00813B74"/>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85809"/>
    <w:rsid w:val="008871F7"/>
    <w:rsid w:val="008903F8"/>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213"/>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5794"/>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648F"/>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2391"/>
    <w:rsid w:val="00AD3A6F"/>
    <w:rsid w:val="00AD52F3"/>
    <w:rsid w:val="00AE05B8"/>
    <w:rsid w:val="00AE0640"/>
    <w:rsid w:val="00AE10CD"/>
    <w:rsid w:val="00AE1B02"/>
    <w:rsid w:val="00AE2207"/>
    <w:rsid w:val="00AE30F3"/>
    <w:rsid w:val="00AE567E"/>
    <w:rsid w:val="00AE6387"/>
    <w:rsid w:val="00AE6430"/>
    <w:rsid w:val="00AE6EA9"/>
    <w:rsid w:val="00AF3F04"/>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5B2"/>
    <w:rsid w:val="00B71AC6"/>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E"/>
    <w:rsid w:val="00BA139F"/>
    <w:rsid w:val="00BA2E9E"/>
    <w:rsid w:val="00BA3793"/>
    <w:rsid w:val="00BA3B88"/>
    <w:rsid w:val="00BA47E0"/>
    <w:rsid w:val="00BA515B"/>
    <w:rsid w:val="00BA5AE0"/>
    <w:rsid w:val="00BA7BA6"/>
    <w:rsid w:val="00BB0835"/>
    <w:rsid w:val="00BB229C"/>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54DD"/>
    <w:rsid w:val="00BE6614"/>
    <w:rsid w:val="00BF05CF"/>
    <w:rsid w:val="00BF0B0B"/>
    <w:rsid w:val="00BF1A8D"/>
    <w:rsid w:val="00BF3A83"/>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76B7"/>
    <w:rsid w:val="00C80665"/>
    <w:rsid w:val="00C81039"/>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5664B"/>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63EB"/>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727"/>
    <w:rsid w:val="00E24912"/>
    <w:rsid w:val="00E27123"/>
    <w:rsid w:val="00E31443"/>
    <w:rsid w:val="00E324E7"/>
    <w:rsid w:val="00E3381B"/>
    <w:rsid w:val="00E34663"/>
    <w:rsid w:val="00E3495E"/>
    <w:rsid w:val="00E35BD3"/>
    <w:rsid w:val="00E37BFF"/>
    <w:rsid w:val="00E4113C"/>
    <w:rsid w:val="00E41CE8"/>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60F6"/>
    <w:rsid w:val="00E67600"/>
    <w:rsid w:val="00E67659"/>
    <w:rsid w:val="00E67E4D"/>
    <w:rsid w:val="00E70F68"/>
    <w:rsid w:val="00E71ACC"/>
    <w:rsid w:val="00E73DE5"/>
    <w:rsid w:val="00E76179"/>
    <w:rsid w:val="00E76E2F"/>
    <w:rsid w:val="00E76F50"/>
    <w:rsid w:val="00E800CB"/>
    <w:rsid w:val="00E83176"/>
    <w:rsid w:val="00E833FE"/>
    <w:rsid w:val="00E860A2"/>
    <w:rsid w:val="00E878A0"/>
    <w:rsid w:val="00E87B8A"/>
    <w:rsid w:val="00E9184E"/>
    <w:rsid w:val="00E924CD"/>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5FC2"/>
    <w:rsid w:val="00F27DC6"/>
    <w:rsid w:val="00F3062E"/>
    <w:rsid w:val="00F31D45"/>
    <w:rsid w:val="00F327CF"/>
    <w:rsid w:val="00F3394C"/>
    <w:rsid w:val="00F33EAB"/>
    <w:rsid w:val="00F344DE"/>
    <w:rsid w:val="00F35135"/>
    <w:rsid w:val="00F35DFB"/>
    <w:rsid w:val="00F363C5"/>
    <w:rsid w:val="00F36AB2"/>
    <w:rsid w:val="00F377ED"/>
    <w:rsid w:val="00F37CF5"/>
    <w:rsid w:val="00F4193A"/>
    <w:rsid w:val="00F42E2F"/>
    <w:rsid w:val="00F43907"/>
    <w:rsid w:val="00F4462A"/>
    <w:rsid w:val="00F45124"/>
    <w:rsid w:val="00F473F0"/>
    <w:rsid w:val="00F50606"/>
    <w:rsid w:val="00F52070"/>
    <w:rsid w:val="00F523CB"/>
    <w:rsid w:val="00F5341C"/>
    <w:rsid w:val="00F54FC3"/>
    <w:rsid w:val="00F55C1F"/>
    <w:rsid w:val="00F57B9F"/>
    <w:rsid w:val="00F60031"/>
    <w:rsid w:val="00F625F5"/>
    <w:rsid w:val="00F63AA3"/>
    <w:rsid w:val="00F67554"/>
    <w:rsid w:val="00F74093"/>
    <w:rsid w:val="00F754EF"/>
    <w:rsid w:val="00F75AF2"/>
    <w:rsid w:val="00F77328"/>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681A"/>
    <w:rsid w:val="00FF13E8"/>
    <w:rsid w:val="00FF1656"/>
    <w:rsid w:val="00FF25D4"/>
    <w:rsid w:val="00FF4D13"/>
    <w:rsid w:val="00FF598A"/>
    <w:rsid w:val="00FF6A3D"/>
    <w:rsid w:val="5E702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9"/>
    <w:semiHidden/>
    <w:unhideWhenUsed/>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21"/>
    <w:unhideWhenUsed/>
    <w:qFormat/>
    <w:uiPriority w:val="0"/>
    <w:pPr>
      <w:snapToGrid w:val="0"/>
      <w:jc w:val="left"/>
    </w:pPr>
    <w:rPr>
      <w:rFonts w:ascii="Calibri" w:hAnsi="Calibri" w:eastAsia="宋体" w:cs="Times New Roman"/>
      <w:sz w:val="18"/>
      <w:szCs w:val="24"/>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otnote reference"/>
    <w:unhideWhenUsed/>
    <w:qFormat/>
    <w:uiPriority w:val="0"/>
    <w:rPr>
      <w:rFonts w:ascii="Times New Roman" w:hAnsi="Times New Roman" w:eastAsia="宋体" w:cs="Times New Roman"/>
      <w:vertAlign w:val="superscript"/>
    </w:rPr>
  </w:style>
  <w:style w:type="paragraph" w:customStyle="1" w:styleId="11">
    <w:name w:val="一级"/>
    <w:basedOn w:val="12"/>
    <w:qFormat/>
    <w:uiPriority w:val="0"/>
    <w:pPr>
      <w:numPr>
        <w:ilvl w:val="0"/>
        <w:numId w:val="1"/>
      </w:numPr>
      <w:spacing w:line="360" w:lineRule="auto"/>
      <w:ind w:firstLine="0" w:firstLineChars="0"/>
      <w:jc w:val="center"/>
    </w:pPr>
    <w:rPr>
      <w:b/>
      <w:sz w:val="28"/>
    </w:rPr>
  </w:style>
  <w:style w:type="paragraph" w:styleId="12">
    <w:name w:val="List Paragraph"/>
    <w:basedOn w:val="1"/>
    <w:qFormat/>
    <w:uiPriority w:val="34"/>
    <w:pPr>
      <w:ind w:firstLine="420" w:firstLineChars="200"/>
    </w:pPr>
  </w:style>
  <w:style w:type="paragraph" w:customStyle="1" w:styleId="13">
    <w:name w:val="二级"/>
    <w:basedOn w:val="12"/>
    <w:qFormat/>
    <w:uiPriority w:val="0"/>
    <w:pPr>
      <w:numPr>
        <w:ilvl w:val="1"/>
        <w:numId w:val="1"/>
      </w:numPr>
      <w:ind w:firstLine="0" w:firstLineChars="0"/>
    </w:pPr>
    <w:rPr>
      <w:b/>
      <w:sz w:val="28"/>
    </w:rPr>
  </w:style>
  <w:style w:type="paragraph" w:customStyle="1" w:styleId="14">
    <w:name w:val="三级"/>
    <w:basedOn w:val="12"/>
    <w:qFormat/>
    <w:uiPriority w:val="0"/>
    <w:pPr>
      <w:numPr>
        <w:ilvl w:val="2"/>
        <w:numId w:val="1"/>
      </w:numPr>
      <w:ind w:firstLine="0" w:firstLineChars="0"/>
    </w:pPr>
    <w:rPr>
      <w:b/>
      <w:sz w:val="28"/>
    </w:rPr>
  </w:style>
  <w:style w:type="paragraph" w:customStyle="1" w:styleId="15">
    <w:name w:val="四级"/>
    <w:basedOn w:val="14"/>
    <w:qFormat/>
    <w:uiPriority w:val="0"/>
    <w:pPr>
      <w:numPr>
        <w:ilvl w:val="3"/>
      </w:numPr>
    </w:pPr>
  </w:style>
  <w:style w:type="paragraph" w:customStyle="1" w:styleId="16">
    <w:name w:val="五级"/>
    <w:basedOn w:val="15"/>
    <w:qFormat/>
    <w:uiPriority w:val="0"/>
    <w:pPr>
      <w:numPr>
        <w:ilvl w:val="4"/>
      </w:numPr>
    </w:pPr>
    <w:rPr>
      <w:sz w:val="24"/>
    </w:rPr>
  </w:style>
  <w:style w:type="character" w:customStyle="1" w:styleId="17">
    <w:name w:val="页眉 字符"/>
    <w:basedOn w:val="9"/>
    <w:link w:val="5"/>
    <w:uiPriority w:val="99"/>
    <w:rPr>
      <w:sz w:val="18"/>
      <w:szCs w:val="18"/>
    </w:rPr>
  </w:style>
  <w:style w:type="character" w:customStyle="1" w:styleId="18">
    <w:name w:val="页脚 字符"/>
    <w:basedOn w:val="9"/>
    <w:link w:val="4"/>
    <w:qFormat/>
    <w:uiPriority w:val="99"/>
    <w:rPr>
      <w:sz w:val="18"/>
      <w:szCs w:val="18"/>
    </w:rPr>
  </w:style>
  <w:style w:type="character" w:customStyle="1" w:styleId="19">
    <w:name w:val="批注框文本 字符"/>
    <w:basedOn w:val="9"/>
    <w:link w:val="3"/>
    <w:semiHidden/>
    <w:qFormat/>
    <w:uiPriority w:val="99"/>
    <w:rPr>
      <w:sz w:val="18"/>
      <w:szCs w:val="18"/>
    </w:rPr>
  </w:style>
  <w:style w:type="character" w:styleId="20">
    <w:name w:val="Placeholder Text"/>
    <w:basedOn w:val="9"/>
    <w:semiHidden/>
    <w:qFormat/>
    <w:uiPriority w:val="99"/>
    <w:rPr>
      <w:color w:val="808080"/>
    </w:rPr>
  </w:style>
  <w:style w:type="character" w:customStyle="1" w:styleId="21">
    <w:name w:val="脚注文本 字符"/>
    <w:basedOn w:val="9"/>
    <w:link w:val="6"/>
    <w:qFormat/>
    <w:uiPriority w:val="0"/>
    <w:rPr>
      <w:rFonts w:ascii="Calibri" w:hAnsi="Calibri" w:eastAsia="宋体" w:cs="Times New Roman"/>
      <w:sz w:val="18"/>
      <w:szCs w:val="24"/>
    </w:rPr>
  </w:style>
  <w:style w:type="character" w:customStyle="1" w:styleId="22">
    <w:name w:val="标题 1 字符"/>
    <w:basedOn w:val="9"/>
    <w:link w:val="2"/>
    <w:qFormat/>
    <w:uiPriority w:val="9"/>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Microsoft\Templates\Normal.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49F59-2469-4CF2-A19D-994CF890DAF5}">
  <ds:schemaRefs/>
</ds:datastoreItem>
</file>

<file path=docProps/app.xml><?xml version="1.0" encoding="utf-8"?>
<Properties xmlns="http://schemas.openxmlformats.org/officeDocument/2006/extended-properties" xmlns:vt="http://schemas.openxmlformats.org/officeDocument/2006/docPropsVTypes">
  <Template>Normal.dotm</Template>
  <Company>shenduxitong</Company>
  <Pages>23</Pages>
  <Words>943</Words>
  <Characters>5377</Characters>
  <Lines>44</Lines>
  <Paragraphs>12</Paragraphs>
  <TotalTime>657</TotalTime>
  <ScaleCrop>false</ScaleCrop>
  <LinksUpToDate>false</LinksUpToDate>
  <CharactersWithSpaces>6308</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2024-02-07T08:15:00Z</dcterms:created>
  <dc:creator>Donghm</dc:creator>
  <cp:lastModifiedBy>xiah</cp:lastModifiedBy>
  <dcterms:modified xsi:type="dcterms:W3CDTF">2024-12-06T12:57:01Z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6F824B87F5E34F74B327ED148A672AF5</vt:lpwstr>
  </property>
</Properties>
</file>