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广发景裕纯债债券型证券投资基金（广发景裕纯债C）基金产品资料概要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2024年10月29日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2024年11月4日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广发景裕纯债</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021552</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广发景裕纯债C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021553</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中国工商银行股份有限公司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债券型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代宇</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2005-07-01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后，连续20个工作日出现基金份额持有人数量不满200人或者基金资产净值低于5000万元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法律法规或中国证监会另有规定时，从其规定。</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在严格控制风险和保持较高流动性的基础上，力求获得超越业绩比较基准的投资回报。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投资范围为具有良好流动性的金融工具，包括国内依法发行上市的国债、央行票据、政府支持机构债、政府支持债券、金融债、地方政府债、企业债、公司债、短期融资券、超级短期融资券、中期票据、资产支持证券、次级债券、可分离交易可转债的纯债部分、债券回购、银行存款、同业存单、国债期货、信用衍生品等金融工具以及法律法规或中国证监会允许基金投资的其他债券类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本基金不投资于股票，也不投资于可转换债券（可分离交易可转债的纯债部分除外）、可交换债券。</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本基金投资于债券资产的比例不低于基金资产的80%；每个交易日日终在扣除国债期货合约需缴纳的交易保证金后，现金或到期日在一年以内的政府债券不低于基金资产净值的5%，其中现金不包括结算备付金、存出保证金和应收申购款等；国债期货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如未来法律法规或监管机构对投资比例要求有变更的，基金管理人在履行适当程序后，可以做出相应调整。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具体策略包括：1、利率预期策略与久期管理；2、类属配置策略；3、信用债券投资策略；4、息差策略；5、资产支持证券投资策略；6、金融衍生产品投资策略。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中债-总全价（总值）指数收益率×90%+一年期定期存款利率（税后）×10%</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本基金是债券型基金，其预期收益及风险水平低于股票型基金、混合型基金，高于货币市场基金。</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注：详见《广发景裕纯债债券型证券投资基金招募说明书》及其更新文件中“基金的投资”。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0.30%</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0.30%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本基金交易证券等产生的费用和税负，按实际发生额从基金资产扣除。</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（1）本基金是债券型基金，主要投资债券，因此债券市场的变化会影响到本基金的业绩表现。</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本基金投资于国债期货、信用衍生品等金融衍生品可能给本基金带来额外风险。投资国债期货的风险包括市场风险、基差风险、流动性风险等；本基金可能投资信用衍生品，信用衍生品的投资可能面临流动性风险、偿付风险以及价格波动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资产支持证券的风险：主要包括流动性风险、利率风险及评级风险等。由于资产支持证券的投资收益来自于基础资产产生的现金流或剩余权益，因此资产支持证券投资还面临基础资产特定原始权益人的破产风险及现金流预测风险等与基础资产相关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2、市场风险：证券市场价格受到经济因素、政治因素、投资心理和交易制度等各种因素的影响，导致基金收益水平变化而产生的风险。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3、开放式基金所共有的管理风险、职业道德风险、流动性风险、合规性风险、投资管理风险和本基金法律文件风险收益特征表述与销售机构基金风险评价可能不一致的风险等。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（1）《广发景裕纯债债券型证券投资基金基金合同》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（2）《广发景裕纯债债券型证券投资基金托管协议》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（3）《广发景裕纯债债券型证券投资基金招募说明书》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