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3AA48" w14:textId="77777777" w:rsidR="00AD02C1" w:rsidRDefault="00AD02C1" w:rsidP="00AD02C1">
      <w:pPr>
        <w:pStyle w:val="biaogecenter"/>
      </w:pPr>
      <w:r>
        <w:rPr>
          <w:rFonts w:hAnsi="等线" w:hint="eastAsia"/>
          <w:b/>
          <w:color w:val="000000"/>
          <w:sz w:val="21"/>
          <w:szCs w:val="21"/>
        </w:rPr>
        <w:t>中欧上证科创板100指数发起式证券投资基金基金产品资料概要</w:t>
      </w:r>
    </w:p>
    <w:p w14:paraId="7B484B64" w14:textId="77777777" w:rsidR="00AD02C1" w:rsidRDefault="00AD02C1" w:rsidP="00AD02C1">
      <w:pPr>
        <w:pStyle w:val="biaogecenter"/>
        <w:rPr>
          <w:rFonts w:hAnsi="等线"/>
          <w:color w:val="000000"/>
          <w:sz w:val="21"/>
          <w:szCs w:val="21"/>
        </w:rPr>
      </w:pPr>
    </w:p>
    <w:p w14:paraId="1F814739" w14:textId="77777777" w:rsidR="00AD02C1" w:rsidRDefault="00AD02C1" w:rsidP="00AD02C1">
      <w:pPr>
        <w:pStyle w:val="biaogeright"/>
        <w:rPr>
          <w:rFonts w:hAnsi="等线"/>
          <w:color w:val="000000"/>
          <w:sz w:val="21"/>
          <w:szCs w:val="21"/>
        </w:rPr>
      </w:pPr>
      <w:r>
        <w:rPr>
          <w:rFonts w:hAnsi="等线" w:hint="eastAsia"/>
          <w:color w:val="000000"/>
          <w:sz w:val="21"/>
          <w:szCs w:val="21"/>
        </w:rPr>
        <w:t>编制日期：2024年</w:t>
      </w:r>
      <w:r w:rsidR="00D44D9C">
        <w:rPr>
          <w:rFonts w:hAnsi="等线"/>
          <w:color w:val="000000"/>
          <w:sz w:val="21"/>
          <w:szCs w:val="21"/>
        </w:rPr>
        <w:t>6</w:t>
      </w:r>
      <w:r>
        <w:rPr>
          <w:rFonts w:hAnsi="等线" w:hint="eastAsia"/>
          <w:color w:val="000000"/>
          <w:sz w:val="21"/>
          <w:szCs w:val="21"/>
        </w:rPr>
        <w:t>月</w:t>
      </w:r>
      <w:r w:rsidR="00D44D9C">
        <w:rPr>
          <w:rFonts w:hAnsi="等线"/>
          <w:color w:val="000000"/>
          <w:sz w:val="21"/>
          <w:szCs w:val="21"/>
        </w:rPr>
        <w:t>28</w:t>
      </w:r>
      <w:r>
        <w:rPr>
          <w:rFonts w:hAnsi="等线" w:hint="eastAsia"/>
          <w:color w:val="000000"/>
          <w:sz w:val="21"/>
          <w:szCs w:val="21"/>
        </w:rPr>
        <w:t>日</w:t>
      </w:r>
    </w:p>
    <w:p w14:paraId="3D960DFB" w14:textId="77777777" w:rsidR="00AD02C1" w:rsidRDefault="00AD02C1" w:rsidP="00AD02C1">
      <w:pPr>
        <w:pStyle w:val="biaogeright"/>
        <w:jc w:val="center"/>
      </w:pPr>
      <w:r>
        <w:rPr>
          <w:rFonts w:hint="eastAsia"/>
        </w:rPr>
        <w:t>送出日期：2024年</w:t>
      </w:r>
      <w:r w:rsidR="00D44D9C">
        <w:t>7</w:t>
      </w:r>
      <w:r>
        <w:rPr>
          <w:rFonts w:hint="eastAsia"/>
        </w:rPr>
        <w:t>月</w:t>
      </w:r>
      <w:r w:rsidR="00D44D9C">
        <w:t>1</w:t>
      </w:r>
      <w:r>
        <w:rPr>
          <w:rFonts w:hint="eastAsia"/>
        </w:rPr>
        <w:t>日</w:t>
      </w:r>
    </w:p>
    <w:p w14:paraId="40A31978" w14:textId="77777777" w:rsidR="00AD02C1" w:rsidRDefault="00AD02C1" w:rsidP="00AD02C1">
      <w:pPr>
        <w:pStyle w:val="biaogecenter"/>
        <w:rPr>
          <w:rFonts w:hAnsi="等线"/>
          <w:color w:val="000000"/>
          <w:sz w:val="21"/>
          <w:szCs w:val="21"/>
        </w:rPr>
      </w:pPr>
      <w:r>
        <w:rPr>
          <w:rFonts w:hAnsi="等线" w:hint="eastAsia"/>
          <w:b/>
          <w:color w:val="000000"/>
          <w:sz w:val="21"/>
          <w:szCs w:val="21"/>
        </w:rPr>
        <w:t>本概要提供本基金的重要信息，是招募说明书的一部分。</w:t>
      </w:r>
    </w:p>
    <w:p w14:paraId="4C14EEC7" w14:textId="77777777" w:rsidR="00AD02C1" w:rsidRDefault="00AD02C1" w:rsidP="00AD02C1">
      <w:pPr>
        <w:pStyle w:val="biaogecenter"/>
        <w:rPr>
          <w:rFonts w:hAnsi="等线"/>
          <w:color w:val="000000"/>
          <w:sz w:val="21"/>
          <w:szCs w:val="21"/>
        </w:rPr>
      </w:pPr>
      <w:r>
        <w:rPr>
          <w:rFonts w:hAnsi="等线" w:hint="eastAsia"/>
          <w:b/>
          <w:color w:val="000000"/>
          <w:sz w:val="21"/>
          <w:szCs w:val="21"/>
        </w:rPr>
        <w:t>作出投资决定前，请阅读完整的招募说明书等销售文件。</w:t>
      </w:r>
    </w:p>
    <w:p w14:paraId="5A192E7E" w14:textId="77777777" w:rsidR="00AD02C1" w:rsidRDefault="00AD02C1" w:rsidP="00AD02C1">
      <w:pPr>
        <w:pStyle w:val="biaogecenter"/>
        <w:rPr>
          <w:rFonts w:hAnsi="等线"/>
          <w:color w:val="000000"/>
          <w:sz w:val="21"/>
          <w:szCs w:val="21"/>
        </w:rPr>
      </w:pPr>
    </w:p>
    <w:p w14:paraId="13198EB0" w14:textId="77777777" w:rsidR="00AD02C1" w:rsidRDefault="00AD02C1" w:rsidP="00AD02C1">
      <w:pPr>
        <w:pStyle w:val="zhangjiep"/>
        <w:rPr>
          <w:rFonts w:hAnsi="等线"/>
          <w:color w:val="000000"/>
          <w:sz w:val="21"/>
          <w:szCs w:val="21"/>
        </w:rPr>
      </w:pPr>
      <w:r>
        <w:rPr>
          <w:rFonts w:hAnsi="等线" w:hint="eastAsia"/>
          <w:b/>
          <w:color w:val="000000"/>
          <w:sz w:val="21"/>
          <w:szCs w:val="21"/>
        </w:rPr>
        <w:t>一、 产品概况</w:t>
      </w:r>
    </w:p>
    <w:tbl>
      <w:tblPr>
        <w:tblW w:w="9096" w:type="dxa"/>
        <w:tblInd w:w="108" w:type="dxa"/>
        <w:tblLook w:val="04A0" w:firstRow="1" w:lastRow="0" w:firstColumn="1" w:lastColumn="0" w:noHBand="0" w:noVBand="1"/>
      </w:tblPr>
      <w:tblGrid>
        <w:gridCol w:w="1862"/>
        <w:gridCol w:w="3123"/>
        <w:gridCol w:w="1560"/>
        <w:gridCol w:w="2551"/>
      </w:tblGrid>
      <w:tr w:rsidR="00AD02C1" w14:paraId="0C0CD70E" w14:textId="77777777" w:rsidTr="00C24C0B">
        <w:tc>
          <w:tcPr>
            <w:tcW w:w="1862" w:type="dxa"/>
            <w:tcBorders>
              <w:top w:val="single" w:sz="8" w:space="0" w:color="000000"/>
              <w:left w:val="single" w:sz="8" w:space="0" w:color="000000"/>
              <w:bottom w:val="single" w:sz="6" w:space="0" w:color="000000"/>
              <w:right w:val="single" w:sz="8" w:space="0" w:color="000000"/>
            </w:tcBorders>
            <w:vAlign w:val="center"/>
            <w:hideMark/>
          </w:tcPr>
          <w:p w14:paraId="5683B387" w14:textId="77777777" w:rsidR="00AD02C1" w:rsidRDefault="00AD02C1">
            <w:pPr>
              <w:pStyle w:val="biaogeleft"/>
              <w:wordWrap w:val="0"/>
              <w:rPr>
                <w:sz w:val="21"/>
                <w:szCs w:val="21"/>
              </w:rPr>
            </w:pPr>
            <w:r>
              <w:rPr>
                <w:rFonts w:hAnsi="等线" w:hint="eastAsia"/>
                <w:color w:val="000000"/>
                <w:sz w:val="21"/>
                <w:szCs w:val="21"/>
              </w:rPr>
              <w:t>基金简称</w:t>
            </w:r>
          </w:p>
        </w:tc>
        <w:tc>
          <w:tcPr>
            <w:tcW w:w="3123" w:type="dxa"/>
            <w:tcBorders>
              <w:top w:val="single" w:sz="8" w:space="0" w:color="000000"/>
              <w:left w:val="single" w:sz="8" w:space="0" w:color="000000"/>
              <w:bottom w:val="single" w:sz="6" w:space="0" w:color="000000"/>
              <w:right w:val="single" w:sz="8" w:space="0" w:color="000000"/>
            </w:tcBorders>
            <w:vAlign w:val="center"/>
            <w:hideMark/>
          </w:tcPr>
          <w:p w14:paraId="158B27B9" w14:textId="77777777" w:rsidR="00AD02C1" w:rsidRDefault="00AD02C1">
            <w:pPr>
              <w:pStyle w:val="biaogeleft"/>
              <w:wordWrap w:val="0"/>
              <w:rPr>
                <w:sz w:val="21"/>
                <w:szCs w:val="21"/>
              </w:rPr>
            </w:pPr>
            <w:r>
              <w:rPr>
                <w:rFonts w:hAnsi="等线" w:hint="eastAsia"/>
                <w:color w:val="000000"/>
                <w:sz w:val="21"/>
                <w:szCs w:val="21"/>
              </w:rPr>
              <w:t>中欧上证科创板100指数发起</w:t>
            </w:r>
          </w:p>
        </w:tc>
        <w:tc>
          <w:tcPr>
            <w:tcW w:w="1560" w:type="dxa"/>
            <w:tcBorders>
              <w:top w:val="single" w:sz="8" w:space="0" w:color="000000"/>
              <w:left w:val="single" w:sz="8" w:space="0" w:color="000000"/>
              <w:bottom w:val="single" w:sz="6" w:space="0" w:color="000000"/>
              <w:right w:val="single" w:sz="8" w:space="0" w:color="000000"/>
            </w:tcBorders>
            <w:vAlign w:val="center"/>
            <w:hideMark/>
          </w:tcPr>
          <w:p w14:paraId="167FAA58" w14:textId="77777777" w:rsidR="00AD02C1" w:rsidRDefault="00AD02C1">
            <w:pPr>
              <w:pStyle w:val="biaogeleft"/>
              <w:wordWrap w:val="0"/>
              <w:rPr>
                <w:sz w:val="21"/>
                <w:szCs w:val="21"/>
              </w:rPr>
            </w:pPr>
            <w:r>
              <w:rPr>
                <w:rFonts w:hAnsi="等线" w:hint="eastAsia"/>
                <w:color w:val="000000"/>
                <w:sz w:val="21"/>
                <w:szCs w:val="21"/>
              </w:rPr>
              <w:t>基金代码</w:t>
            </w:r>
          </w:p>
        </w:tc>
        <w:tc>
          <w:tcPr>
            <w:tcW w:w="2551" w:type="dxa"/>
            <w:tcBorders>
              <w:top w:val="single" w:sz="8" w:space="0" w:color="000000"/>
              <w:left w:val="single" w:sz="8" w:space="0" w:color="000000"/>
              <w:bottom w:val="single" w:sz="6" w:space="0" w:color="000000"/>
              <w:right w:val="single" w:sz="8" w:space="0" w:color="000000"/>
            </w:tcBorders>
            <w:vAlign w:val="center"/>
            <w:hideMark/>
          </w:tcPr>
          <w:p w14:paraId="3AB6A60B" w14:textId="77777777" w:rsidR="00AD02C1" w:rsidRDefault="00D44D9C">
            <w:pPr>
              <w:pStyle w:val="biaogeleft"/>
              <w:wordWrap w:val="0"/>
              <w:rPr>
                <w:sz w:val="21"/>
                <w:szCs w:val="21"/>
              </w:rPr>
            </w:pPr>
            <w:r>
              <w:rPr>
                <w:sz w:val="21"/>
                <w:szCs w:val="21"/>
              </w:rPr>
              <w:t>021660</w:t>
            </w:r>
          </w:p>
        </w:tc>
      </w:tr>
      <w:tr w:rsidR="00AD02C1" w14:paraId="72F8B17B" w14:textId="77777777" w:rsidTr="00C24C0B">
        <w:tc>
          <w:tcPr>
            <w:tcW w:w="1862" w:type="dxa"/>
            <w:tcBorders>
              <w:top w:val="single" w:sz="8" w:space="0" w:color="000000"/>
              <w:left w:val="single" w:sz="8" w:space="0" w:color="000000"/>
              <w:bottom w:val="single" w:sz="6" w:space="0" w:color="000000"/>
              <w:right w:val="single" w:sz="8" w:space="0" w:color="000000"/>
            </w:tcBorders>
            <w:vAlign w:val="center"/>
            <w:hideMark/>
          </w:tcPr>
          <w:p w14:paraId="63A2EC81" w14:textId="77777777" w:rsidR="00AD02C1" w:rsidRDefault="00AD02C1">
            <w:pPr>
              <w:pStyle w:val="biaogeleft"/>
              <w:wordWrap w:val="0"/>
              <w:rPr>
                <w:sz w:val="21"/>
                <w:szCs w:val="21"/>
              </w:rPr>
            </w:pPr>
            <w:r>
              <w:rPr>
                <w:rFonts w:hAnsi="等线" w:hint="eastAsia"/>
                <w:color w:val="000000"/>
                <w:sz w:val="21"/>
                <w:szCs w:val="21"/>
              </w:rPr>
              <w:t>基金简称A</w:t>
            </w:r>
          </w:p>
        </w:tc>
        <w:tc>
          <w:tcPr>
            <w:tcW w:w="3123" w:type="dxa"/>
            <w:tcBorders>
              <w:top w:val="single" w:sz="8" w:space="0" w:color="000000"/>
              <w:left w:val="single" w:sz="8" w:space="0" w:color="000000"/>
              <w:bottom w:val="single" w:sz="6" w:space="0" w:color="000000"/>
              <w:right w:val="single" w:sz="8" w:space="0" w:color="000000"/>
            </w:tcBorders>
            <w:hideMark/>
          </w:tcPr>
          <w:p w14:paraId="7C580872" w14:textId="77777777" w:rsidR="00AD02C1" w:rsidRDefault="00AD02C1">
            <w:pPr>
              <w:pStyle w:val="biaogeleft"/>
              <w:wordWrap w:val="0"/>
              <w:rPr>
                <w:sz w:val="21"/>
                <w:szCs w:val="21"/>
              </w:rPr>
            </w:pPr>
            <w:r>
              <w:rPr>
                <w:rFonts w:hAnsi="等线" w:hint="eastAsia"/>
                <w:color w:val="000000"/>
                <w:sz w:val="21"/>
                <w:szCs w:val="21"/>
              </w:rPr>
              <w:t>中欧上证科创板100指数发起A</w:t>
            </w:r>
          </w:p>
        </w:tc>
        <w:tc>
          <w:tcPr>
            <w:tcW w:w="1560" w:type="dxa"/>
            <w:tcBorders>
              <w:top w:val="single" w:sz="8" w:space="0" w:color="000000"/>
              <w:left w:val="single" w:sz="8" w:space="0" w:color="000000"/>
              <w:bottom w:val="single" w:sz="6" w:space="0" w:color="000000"/>
              <w:right w:val="single" w:sz="8" w:space="0" w:color="000000"/>
            </w:tcBorders>
            <w:vAlign w:val="center"/>
            <w:hideMark/>
          </w:tcPr>
          <w:p w14:paraId="5848F9B8" w14:textId="77777777" w:rsidR="00AD02C1" w:rsidRDefault="00AD02C1">
            <w:pPr>
              <w:pStyle w:val="biaogeleft"/>
              <w:wordWrap w:val="0"/>
              <w:rPr>
                <w:sz w:val="21"/>
                <w:szCs w:val="21"/>
              </w:rPr>
            </w:pPr>
            <w:r>
              <w:rPr>
                <w:rFonts w:hAnsi="等线" w:hint="eastAsia"/>
                <w:color w:val="000000"/>
                <w:sz w:val="21"/>
                <w:szCs w:val="21"/>
              </w:rPr>
              <w:t>基金代码A</w:t>
            </w:r>
          </w:p>
        </w:tc>
        <w:tc>
          <w:tcPr>
            <w:tcW w:w="2551" w:type="dxa"/>
            <w:tcBorders>
              <w:top w:val="single" w:sz="8" w:space="0" w:color="000000"/>
              <w:left w:val="single" w:sz="8" w:space="0" w:color="000000"/>
              <w:bottom w:val="single" w:sz="6" w:space="0" w:color="000000"/>
              <w:right w:val="single" w:sz="8" w:space="0" w:color="000000"/>
            </w:tcBorders>
            <w:hideMark/>
          </w:tcPr>
          <w:p w14:paraId="02A0EEE0" w14:textId="77777777" w:rsidR="00AD02C1" w:rsidRDefault="00D44D9C">
            <w:pPr>
              <w:pStyle w:val="biaogeleft"/>
              <w:wordWrap w:val="0"/>
              <w:rPr>
                <w:sz w:val="21"/>
                <w:szCs w:val="21"/>
              </w:rPr>
            </w:pPr>
            <w:r>
              <w:rPr>
                <w:sz w:val="21"/>
                <w:szCs w:val="21"/>
              </w:rPr>
              <w:t>021660</w:t>
            </w:r>
          </w:p>
        </w:tc>
      </w:tr>
      <w:tr w:rsidR="00AD02C1" w14:paraId="6B9A8BC4" w14:textId="77777777" w:rsidTr="00C24C0B">
        <w:tc>
          <w:tcPr>
            <w:tcW w:w="1862" w:type="dxa"/>
            <w:tcBorders>
              <w:top w:val="single" w:sz="8" w:space="0" w:color="000000"/>
              <w:left w:val="single" w:sz="8" w:space="0" w:color="000000"/>
              <w:bottom w:val="single" w:sz="6" w:space="0" w:color="000000"/>
              <w:right w:val="single" w:sz="8" w:space="0" w:color="000000"/>
            </w:tcBorders>
            <w:vAlign w:val="center"/>
            <w:hideMark/>
          </w:tcPr>
          <w:p w14:paraId="49BDBF09" w14:textId="77777777" w:rsidR="00AD02C1" w:rsidRDefault="00AD02C1">
            <w:pPr>
              <w:pStyle w:val="biaogeleft"/>
              <w:wordWrap w:val="0"/>
              <w:rPr>
                <w:sz w:val="21"/>
                <w:szCs w:val="21"/>
              </w:rPr>
            </w:pPr>
            <w:r>
              <w:rPr>
                <w:rFonts w:hAnsi="等线" w:hint="eastAsia"/>
                <w:color w:val="000000"/>
                <w:sz w:val="21"/>
                <w:szCs w:val="21"/>
              </w:rPr>
              <w:t>基金简称C</w:t>
            </w:r>
          </w:p>
        </w:tc>
        <w:tc>
          <w:tcPr>
            <w:tcW w:w="3123" w:type="dxa"/>
            <w:tcBorders>
              <w:top w:val="single" w:sz="8" w:space="0" w:color="000000"/>
              <w:left w:val="single" w:sz="8" w:space="0" w:color="000000"/>
              <w:bottom w:val="single" w:sz="6" w:space="0" w:color="000000"/>
              <w:right w:val="single" w:sz="8" w:space="0" w:color="000000"/>
            </w:tcBorders>
            <w:hideMark/>
          </w:tcPr>
          <w:p w14:paraId="0F5696B6" w14:textId="77777777" w:rsidR="00AD02C1" w:rsidRDefault="00AD02C1">
            <w:pPr>
              <w:pStyle w:val="biaogeleft"/>
              <w:wordWrap w:val="0"/>
              <w:rPr>
                <w:sz w:val="21"/>
                <w:szCs w:val="21"/>
              </w:rPr>
            </w:pPr>
            <w:r>
              <w:rPr>
                <w:rFonts w:hAnsi="等线" w:hint="eastAsia"/>
                <w:color w:val="000000"/>
                <w:sz w:val="21"/>
                <w:szCs w:val="21"/>
              </w:rPr>
              <w:t>中欧上证科创板100指数发起C</w:t>
            </w:r>
          </w:p>
        </w:tc>
        <w:tc>
          <w:tcPr>
            <w:tcW w:w="1560" w:type="dxa"/>
            <w:tcBorders>
              <w:top w:val="single" w:sz="8" w:space="0" w:color="000000"/>
              <w:left w:val="single" w:sz="8" w:space="0" w:color="000000"/>
              <w:bottom w:val="single" w:sz="6" w:space="0" w:color="000000"/>
              <w:right w:val="single" w:sz="8" w:space="0" w:color="000000"/>
            </w:tcBorders>
            <w:vAlign w:val="center"/>
            <w:hideMark/>
          </w:tcPr>
          <w:p w14:paraId="07E080D0" w14:textId="77777777" w:rsidR="00AD02C1" w:rsidRDefault="00AD02C1">
            <w:pPr>
              <w:pStyle w:val="biaogeleft"/>
              <w:wordWrap w:val="0"/>
              <w:rPr>
                <w:sz w:val="21"/>
                <w:szCs w:val="21"/>
              </w:rPr>
            </w:pPr>
            <w:r>
              <w:rPr>
                <w:rFonts w:hAnsi="等线" w:hint="eastAsia"/>
                <w:color w:val="000000"/>
                <w:sz w:val="21"/>
                <w:szCs w:val="21"/>
              </w:rPr>
              <w:t>基金代码C</w:t>
            </w:r>
          </w:p>
        </w:tc>
        <w:tc>
          <w:tcPr>
            <w:tcW w:w="2551" w:type="dxa"/>
            <w:tcBorders>
              <w:top w:val="single" w:sz="8" w:space="0" w:color="000000"/>
              <w:left w:val="single" w:sz="8" w:space="0" w:color="000000"/>
              <w:bottom w:val="single" w:sz="6" w:space="0" w:color="000000"/>
              <w:right w:val="single" w:sz="8" w:space="0" w:color="000000"/>
            </w:tcBorders>
            <w:hideMark/>
          </w:tcPr>
          <w:p w14:paraId="4ABA63FC" w14:textId="77777777" w:rsidR="00AD02C1" w:rsidRDefault="00D44D9C">
            <w:pPr>
              <w:pStyle w:val="biaogeleft"/>
              <w:wordWrap w:val="0"/>
              <w:rPr>
                <w:sz w:val="21"/>
                <w:szCs w:val="21"/>
              </w:rPr>
            </w:pPr>
            <w:r>
              <w:rPr>
                <w:sz w:val="21"/>
                <w:szCs w:val="21"/>
              </w:rPr>
              <w:t>021661</w:t>
            </w:r>
          </w:p>
        </w:tc>
      </w:tr>
      <w:tr w:rsidR="00AD02C1" w14:paraId="7C164A9E" w14:textId="77777777" w:rsidTr="00C24C0B">
        <w:tc>
          <w:tcPr>
            <w:tcW w:w="1862" w:type="dxa"/>
            <w:tcBorders>
              <w:top w:val="single" w:sz="8" w:space="0" w:color="000000"/>
              <w:left w:val="single" w:sz="8" w:space="0" w:color="000000"/>
              <w:bottom w:val="single" w:sz="6" w:space="0" w:color="000000"/>
              <w:right w:val="single" w:sz="8" w:space="0" w:color="000000"/>
            </w:tcBorders>
            <w:vAlign w:val="center"/>
            <w:hideMark/>
          </w:tcPr>
          <w:p w14:paraId="22F0DA83" w14:textId="77777777" w:rsidR="00AD02C1" w:rsidRDefault="00AD02C1">
            <w:pPr>
              <w:pStyle w:val="biaogeleft"/>
              <w:wordWrap w:val="0"/>
              <w:rPr>
                <w:sz w:val="21"/>
                <w:szCs w:val="21"/>
              </w:rPr>
            </w:pPr>
            <w:r>
              <w:rPr>
                <w:rFonts w:hAnsi="等线" w:hint="eastAsia"/>
                <w:color w:val="000000"/>
                <w:sz w:val="21"/>
                <w:szCs w:val="21"/>
              </w:rPr>
              <w:t>基金管理人</w:t>
            </w:r>
          </w:p>
        </w:tc>
        <w:tc>
          <w:tcPr>
            <w:tcW w:w="3123" w:type="dxa"/>
            <w:tcBorders>
              <w:top w:val="single" w:sz="8" w:space="0" w:color="000000"/>
              <w:left w:val="single" w:sz="8" w:space="0" w:color="000000"/>
              <w:bottom w:val="single" w:sz="6" w:space="0" w:color="000000"/>
              <w:right w:val="single" w:sz="8" w:space="0" w:color="000000"/>
            </w:tcBorders>
            <w:vAlign w:val="center"/>
            <w:hideMark/>
          </w:tcPr>
          <w:p w14:paraId="0CFB9442" w14:textId="77777777" w:rsidR="00AD02C1" w:rsidRDefault="00AD02C1">
            <w:pPr>
              <w:pStyle w:val="biaogeleft"/>
              <w:wordWrap w:val="0"/>
              <w:rPr>
                <w:sz w:val="21"/>
                <w:szCs w:val="21"/>
              </w:rPr>
            </w:pPr>
            <w:r>
              <w:rPr>
                <w:rFonts w:hAnsi="等线" w:hint="eastAsia"/>
                <w:color w:val="000000"/>
                <w:sz w:val="21"/>
                <w:szCs w:val="21"/>
              </w:rPr>
              <w:t>中欧基金管理有限公司</w:t>
            </w:r>
          </w:p>
        </w:tc>
        <w:tc>
          <w:tcPr>
            <w:tcW w:w="1560" w:type="dxa"/>
            <w:tcBorders>
              <w:top w:val="single" w:sz="8" w:space="0" w:color="000000"/>
              <w:left w:val="single" w:sz="8" w:space="0" w:color="000000"/>
              <w:bottom w:val="single" w:sz="6" w:space="0" w:color="000000"/>
              <w:right w:val="single" w:sz="8" w:space="0" w:color="000000"/>
            </w:tcBorders>
            <w:vAlign w:val="center"/>
            <w:hideMark/>
          </w:tcPr>
          <w:p w14:paraId="2A735217" w14:textId="77777777" w:rsidR="00AD02C1" w:rsidRDefault="00AD02C1">
            <w:pPr>
              <w:pStyle w:val="biaogeleft"/>
              <w:wordWrap w:val="0"/>
              <w:rPr>
                <w:sz w:val="21"/>
                <w:szCs w:val="21"/>
              </w:rPr>
            </w:pPr>
            <w:r>
              <w:rPr>
                <w:rFonts w:hAnsi="等线" w:hint="eastAsia"/>
                <w:color w:val="000000"/>
                <w:sz w:val="21"/>
                <w:szCs w:val="21"/>
              </w:rPr>
              <w:t>基金托管人</w:t>
            </w:r>
          </w:p>
        </w:tc>
        <w:tc>
          <w:tcPr>
            <w:tcW w:w="2551" w:type="dxa"/>
            <w:tcBorders>
              <w:top w:val="single" w:sz="8" w:space="0" w:color="000000"/>
              <w:left w:val="single" w:sz="8" w:space="0" w:color="000000"/>
              <w:bottom w:val="single" w:sz="6" w:space="0" w:color="000000"/>
              <w:right w:val="single" w:sz="8" w:space="0" w:color="000000"/>
            </w:tcBorders>
            <w:vAlign w:val="center"/>
            <w:hideMark/>
          </w:tcPr>
          <w:p w14:paraId="2520F2FB" w14:textId="77777777" w:rsidR="00AD02C1" w:rsidRDefault="00AD02C1">
            <w:pPr>
              <w:pStyle w:val="biaogeleft"/>
              <w:wordWrap w:val="0"/>
              <w:rPr>
                <w:sz w:val="21"/>
                <w:szCs w:val="21"/>
              </w:rPr>
            </w:pPr>
            <w:r>
              <w:rPr>
                <w:rFonts w:hAnsi="等线" w:hint="eastAsia"/>
                <w:color w:val="000000"/>
                <w:sz w:val="21"/>
                <w:szCs w:val="21"/>
              </w:rPr>
              <w:t>招商银行股份有限公司</w:t>
            </w:r>
          </w:p>
        </w:tc>
      </w:tr>
      <w:tr w:rsidR="00AD02C1" w14:paraId="078DA480" w14:textId="77777777" w:rsidTr="00C24C0B">
        <w:tc>
          <w:tcPr>
            <w:tcW w:w="1862" w:type="dxa"/>
            <w:tcBorders>
              <w:top w:val="single" w:sz="8" w:space="0" w:color="000000"/>
              <w:left w:val="single" w:sz="8" w:space="0" w:color="000000"/>
              <w:bottom w:val="single" w:sz="6" w:space="0" w:color="000000"/>
              <w:right w:val="single" w:sz="8" w:space="0" w:color="000000"/>
            </w:tcBorders>
            <w:vAlign w:val="center"/>
            <w:hideMark/>
          </w:tcPr>
          <w:p w14:paraId="7E397B84" w14:textId="77777777" w:rsidR="00AD02C1" w:rsidRDefault="00AD02C1">
            <w:pPr>
              <w:pStyle w:val="biaogeleft"/>
              <w:wordWrap w:val="0"/>
              <w:rPr>
                <w:sz w:val="21"/>
                <w:szCs w:val="21"/>
              </w:rPr>
            </w:pPr>
            <w:r>
              <w:rPr>
                <w:rFonts w:hAnsi="等线" w:hint="eastAsia"/>
                <w:color w:val="000000"/>
                <w:sz w:val="21"/>
                <w:szCs w:val="21"/>
              </w:rPr>
              <w:t>基金合同生效日</w:t>
            </w:r>
          </w:p>
        </w:tc>
        <w:tc>
          <w:tcPr>
            <w:tcW w:w="3123" w:type="dxa"/>
            <w:tcBorders>
              <w:top w:val="single" w:sz="8" w:space="0" w:color="000000"/>
              <w:left w:val="single" w:sz="8" w:space="0" w:color="000000"/>
              <w:bottom w:val="single" w:sz="6" w:space="0" w:color="000000"/>
              <w:right w:val="single" w:sz="8" w:space="0" w:color="000000"/>
            </w:tcBorders>
            <w:vAlign w:val="center"/>
            <w:hideMark/>
          </w:tcPr>
          <w:p w14:paraId="7E447B59" w14:textId="77777777" w:rsidR="00AD02C1" w:rsidRDefault="00AD02C1">
            <w:pPr>
              <w:pStyle w:val="biaogeleft"/>
              <w:wordWrap w:val="0"/>
              <w:rPr>
                <w:sz w:val="21"/>
                <w:szCs w:val="21"/>
              </w:rPr>
            </w:pPr>
            <w:r>
              <w:rPr>
                <w:rFonts w:hint="eastAsia"/>
                <w:sz w:val="21"/>
                <w:szCs w:val="21"/>
              </w:rPr>
              <w:t>-</w:t>
            </w:r>
          </w:p>
        </w:tc>
        <w:tc>
          <w:tcPr>
            <w:tcW w:w="1560" w:type="dxa"/>
            <w:tcBorders>
              <w:top w:val="single" w:sz="8" w:space="0" w:color="000000"/>
              <w:left w:val="single" w:sz="8" w:space="0" w:color="000000"/>
              <w:bottom w:val="single" w:sz="6" w:space="0" w:color="000000"/>
              <w:right w:val="single" w:sz="8" w:space="0" w:color="000000"/>
            </w:tcBorders>
            <w:vAlign w:val="center"/>
            <w:hideMark/>
          </w:tcPr>
          <w:p w14:paraId="243D040A" w14:textId="77777777" w:rsidR="00AD02C1" w:rsidRDefault="00AD02C1">
            <w:pPr>
              <w:pStyle w:val="biaogeleft"/>
              <w:wordWrap w:val="0"/>
              <w:rPr>
                <w:sz w:val="21"/>
                <w:szCs w:val="21"/>
              </w:rPr>
            </w:pPr>
            <w:r>
              <w:rPr>
                <w:rFonts w:hAnsi="等线" w:hint="eastAsia"/>
                <w:color w:val="000000"/>
                <w:sz w:val="21"/>
                <w:szCs w:val="21"/>
              </w:rPr>
              <w:t>上市交易所及上市日期</w:t>
            </w:r>
          </w:p>
        </w:tc>
        <w:tc>
          <w:tcPr>
            <w:tcW w:w="2551" w:type="dxa"/>
            <w:tcBorders>
              <w:top w:val="single" w:sz="8" w:space="0" w:color="000000"/>
              <w:left w:val="single" w:sz="8" w:space="0" w:color="000000"/>
              <w:bottom w:val="single" w:sz="6" w:space="0" w:color="000000"/>
              <w:right w:val="single" w:sz="8" w:space="0" w:color="000000"/>
            </w:tcBorders>
            <w:vAlign w:val="center"/>
            <w:hideMark/>
          </w:tcPr>
          <w:p w14:paraId="53D0AD1A" w14:textId="77777777" w:rsidR="00AD02C1" w:rsidRDefault="00AD02C1">
            <w:pPr>
              <w:pStyle w:val="biaogeleft"/>
              <w:wordWrap w:val="0"/>
              <w:rPr>
                <w:sz w:val="21"/>
                <w:szCs w:val="21"/>
              </w:rPr>
            </w:pPr>
            <w:r>
              <w:rPr>
                <w:rFonts w:hAnsi="等线" w:hint="eastAsia"/>
                <w:color w:val="000000"/>
                <w:sz w:val="21"/>
                <w:szCs w:val="21"/>
              </w:rPr>
              <w:t>暂未上市</w:t>
            </w:r>
          </w:p>
        </w:tc>
      </w:tr>
      <w:tr w:rsidR="00AD02C1" w14:paraId="7B022655" w14:textId="77777777" w:rsidTr="00C24C0B">
        <w:tc>
          <w:tcPr>
            <w:tcW w:w="1862" w:type="dxa"/>
            <w:tcBorders>
              <w:top w:val="single" w:sz="8" w:space="0" w:color="000000"/>
              <w:left w:val="single" w:sz="8" w:space="0" w:color="000000"/>
              <w:bottom w:val="single" w:sz="6" w:space="0" w:color="000000"/>
              <w:right w:val="single" w:sz="8" w:space="0" w:color="000000"/>
            </w:tcBorders>
            <w:vAlign w:val="center"/>
            <w:hideMark/>
          </w:tcPr>
          <w:p w14:paraId="5FEC851C" w14:textId="77777777" w:rsidR="00AD02C1" w:rsidRDefault="00AD02C1">
            <w:pPr>
              <w:pStyle w:val="biaogeleft"/>
              <w:wordWrap w:val="0"/>
              <w:rPr>
                <w:sz w:val="21"/>
                <w:szCs w:val="21"/>
              </w:rPr>
            </w:pPr>
            <w:r>
              <w:rPr>
                <w:rFonts w:hAnsi="等线" w:hint="eastAsia"/>
                <w:color w:val="000000"/>
                <w:sz w:val="21"/>
                <w:szCs w:val="21"/>
              </w:rPr>
              <w:t>基金类型</w:t>
            </w:r>
          </w:p>
        </w:tc>
        <w:tc>
          <w:tcPr>
            <w:tcW w:w="3123" w:type="dxa"/>
            <w:tcBorders>
              <w:top w:val="single" w:sz="8" w:space="0" w:color="000000"/>
              <w:left w:val="single" w:sz="8" w:space="0" w:color="000000"/>
              <w:bottom w:val="single" w:sz="6" w:space="0" w:color="000000"/>
              <w:right w:val="single" w:sz="8" w:space="0" w:color="000000"/>
            </w:tcBorders>
            <w:vAlign w:val="center"/>
            <w:hideMark/>
          </w:tcPr>
          <w:p w14:paraId="0FBB6F5F" w14:textId="77777777" w:rsidR="00AD02C1" w:rsidRDefault="00AD02C1">
            <w:pPr>
              <w:pStyle w:val="biaogeleft"/>
              <w:wordWrap w:val="0"/>
              <w:rPr>
                <w:sz w:val="21"/>
                <w:szCs w:val="21"/>
              </w:rPr>
            </w:pPr>
            <w:r>
              <w:rPr>
                <w:rFonts w:hAnsi="等线" w:hint="eastAsia"/>
                <w:color w:val="000000"/>
                <w:sz w:val="21"/>
                <w:szCs w:val="21"/>
              </w:rPr>
              <w:t>股票型</w:t>
            </w:r>
          </w:p>
        </w:tc>
        <w:tc>
          <w:tcPr>
            <w:tcW w:w="1560" w:type="dxa"/>
            <w:tcBorders>
              <w:top w:val="single" w:sz="8" w:space="0" w:color="000000"/>
              <w:left w:val="single" w:sz="8" w:space="0" w:color="000000"/>
              <w:bottom w:val="single" w:sz="6" w:space="0" w:color="000000"/>
              <w:right w:val="single" w:sz="8" w:space="0" w:color="000000"/>
            </w:tcBorders>
            <w:vAlign w:val="center"/>
            <w:hideMark/>
          </w:tcPr>
          <w:p w14:paraId="24AC4E14" w14:textId="77777777" w:rsidR="00AD02C1" w:rsidRDefault="00AD02C1">
            <w:pPr>
              <w:pStyle w:val="biaogeleft"/>
              <w:wordWrap w:val="0"/>
              <w:rPr>
                <w:sz w:val="21"/>
                <w:szCs w:val="21"/>
              </w:rPr>
            </w:pPr>
            <w:r>
              <w:rPr>
                <w:rFonts w:hAnsi="等线" w:hint="eastAsia"/>
                <w:color w:val="000000"/>
                <w:sz w:val="21"/>
                <w:szCs w:val="21"/>
              </w:rPr>
              <w:t>交易币种</w:t>
            </w:r>
          </w:p>
        </w:tc>
        <w:tc>
          <w:tcPr>
            <w:tcW w:w="2551" w:type="dxa"/>
            <w:tcBorders>
              <w:top w:val="single" w:sz="8" w:space="0" w:color="000000"/>
              <w:left w:val="single" w:sz="8" w:space="0" w:color="000000"/>
              <w:bottom w:val="single" w:sz="6" w:space="0" w:color="000000"/>
              <w:right w:val="single" w:sz="8" w:space="0" w:color="000000"/>
            </w:tcBorders>
            <w:vAlign w:val="center"/>
            <w:hideMark/>
          </w:tcPr>
          <w:p w14:paraId="013C2272" w14:textId="77777777" w:rsidR="00AD02C1" w:rsidRDefault="00AD02C1">
            <w:pPr>
              <w:pStyle w:val="biaogeleft"/>
              <w:wordWrap w:val="0"/>
              <w:rPr>
                <w:sz w:val="21"/>
                <w:szCs w:val="21"/>
              </w:rPr>
            </w:pPr>
            <w:r>
              <w:rPr>
                <w:rFonts w:hAnsi="等线" w:hint="eastAsia"/>
                <w:color w:val="000000"/>
                <w:sz w:val="21"/>
                <w:szCs w:val="21"/>
              </w:rPr>
              <w:t>人民币</w:t>
            </w:r>
          </w:p>
        </w:tc>
      </w:tr>
      <w:tr w:rsidR="00AD02C1" w14:paraId="6935F714" w14:textId="77777777" w:rsidTr="00C24C0B">
        <w:tc>
          <w:tcPr>
            <w:tcW w:w="1862" w:type="dxa"/>
            <w:tcBorders>
              <w:top w:val="single" w:sz="8" w:space="0" w:color="000000"/>
              <w:left w:val="single" w:sz="8" w:space="0" w:color="000000"/>
              <w:bottom w:val="single" w:sz="6" w:space="0" w:color="000000"/>
              <w:right w:val="single" w:sz="8" w:space="0" w:color="000000"/>
            </w:tcBorders>
            <w:vAlign w:val="center"/>
            <w:hideMark/>
          </w:tcPr>
          <w:p w14:paraId="1C85908E" w14:textId="77777777" w:rsidR="00AD02C1" w:rsidRDefault="00AD02C1">
            <w:pPr>
              <w:pStyle w:val="biaogeleft"/>
              <w:wordWrap w:val="0"/>
              <w:rPr>
                <w:sz w:val="21"/>
                <w:szCs w:val="21"/>
              </w:rPr>
            </w:pPr>
            <w:r>
              <w:rPr>
                <w:rFonts w:hAnsi="等线" w:hint="eastAsia"/>
                <w:color w:val="000000"/>
                <w:sz w:val="21"/>
                <w:szCs w:val="21"/>
              </w:rPr>
              <w:t>运作方式</w:t>
            </w:r>
          </w:p>
        </w:tc>
        <w:tc>
          <w:tcPr>
            <w:tcW w:w="3123" w:type="dxa"/>
            <w:tcBorders>
              <w:top w:val="single" w:sz="8" w:space="0" w:color="000000"/>
              <w:left w:val="single" w:sz="8" w:space="0" w:color="000000"/>
              <w:bottom w:val="single" w:sz="6" w:space="0" w:color="000000"/>
              <w:right w:val="single" w:sz="8" w:space="0" w:color="000000"/>
            </w:tcBorders>
            <w:vAlign w:val="center"/>
            <w:hideMark/>
          </w:tcPr>
          <w:p w14:paraId="4B075866" w14:textId="77777777" w:rsidR="00AD02C1" w:rsidRDefault="00AD02C1">
            <w:pPr>
              <w:pStyle w:val="biaogeleft"/>
              <w:wordWrap w:val="0"/>
              <w:rPr>
                <w:sz w:val="21"/>
                <w:szCs w:val="21"/>
              </w:rPr>
            </w:pPr>
            <w:r>
              <w:rPr>
                <w:rFonts w:hint="eastAsia"/>
                <w:sz w:val="21"/>
                <w:szCs w:val="21"/>
              </w:rPr>
              <w:t>普通开放式</w:t>
            </w:r>
          </w:p>
        </w:tc>
        <w:tc>
          <w:tcPr>
            <w:tcW w:w="1560" w:type="dxa"/>
            <w:tcBorders>
              <w:top w:val="single" w:sz="8" w:space="0" w:color="000000"/>
              <w:left w:val="single" w:sz="8" w:space="0" w:color="000000"/>
              <w:bottom w:val="single" w:sz="6" w:space="0" w:color="000000"/>
              <w:right w:val="single" w:sz="8" w:space="0" w:color="000000"/>
            </w:tcBorders>
            <w:vAlign w:val="center"/>
            <w:hideMark/>
          </w:tcPr>
          <w:p w14:paraId="73D71F76" w14:textId="77777777" w:rsidR="00AD02C1" w:rsidRDefault="00AD02C1">
            <w:pPr>
              <w:pStyle w:val="biaogeleft"/>
              <w:wordWrap w:val="0"/>
              <w:rPr>
                <w:sz w:val="21"/>
                <w:szCs w:val="21"/>
              </w:rPr>
            </w:pPr>
            <w:r>
              <w:rPr>
                <w:rFonts w:hAnsi="等线" w:hint="eastAsia"/>
                <w:color w:val="000000"/>
                <w:sz w:val="21"/>
                <w:szCs w:val="21"/>
              </w:rPr>
              <w:t>开放频率</w:t>
            </w:r>
          </w:p>
        </w:tc>
        <w:tc>
          <w:tcPr>
            <w:tcW w:w="2551" w:type="dxa"/>
            <w:tcBorders>
              <w:top w:val="single" w:sz="8" w:space="0" w:color="000000"/>
              <w:left w:val="single" w:sz="8" w:space="0" w:color="000000"/>
              <w:bottom w:val="single" w:sz="6" w:space="0" w:color="000000"/>
              <w:right w:val="single" w:sz="8" w:space="0" w:color="000000"/>
            </w:tcBorders>
            <w:vAlign w:val="center"/>
            <w:hideMark/>
          </w:tcPr>
          <w:p w14:paraId="1EDEECFA" w14:textId="6BE6CAD3" w:rsidR="00AD02C1" w:rsidRDefault="00AD02C1">
            <w:pPr>
              <w:pStyle w:val="biaogeleft"/>
              <w:wordWrap w:val="0"/>
              <w:rPr>
                <w:sz w:val="21"/>
                <w:szCs w:val="21"/>
              </w:rPr>
            </w:pPr>
            <w:r>
              <w:rPr>
                <w:rFonts w:hint="eastAsia"/>
                <w:sz w:val="21"/>
                <w:szCs w:val="21"/>
              </w:rPr>
              <w:t>每</w:t>
            </w:r>
            <w:r w:rsidR="00445A87">
              <w:rPr>
                <w:rFonts w:hint="eastAsia"/>
                <w:sz w:val="21"/>
                <w:szCs w:val="21"/>
              </w:rPr>
              <w:t>个</w:t>
            </w:r>
            <w:r>
              <w:rPr>
                <w:rFonts w:hint="eastAsia"/>
                <w:sz w:val="21"/>
                <w:szCs w:val="21"/>
              </w:rPr>
              <w:t>开放</w:t>
            </w:r>
            <w:r w:rsidR="00445A87">
              <w:rPr>
                <w:rFonts w:hint="eastAsia"/>
                <w:sz w:val="21"/>
                <w:szCs w:val="21"/>
              </w:rPr>
              <w:t>日</w:t>
            </w:r>
          </w:p>
        </w:tc>
      </w:tr>
      <w:tr w:rsidR="00AD02C1" w14:paraId="113A5967" w14:textId="77777777" w:rsidTr="00AD02C1">
        <w:tc>
          <w:tcPr>
            <w:tcW w:w="1862" w:type="dxa"/>
            <w:tcBorders>
              <w:top w:val="single" w:sz="8" w:space="0" w:color="000000"/>
              <w:left w:val="single" w:sz="8" w:space="0" w:color="000000"/>
              <w:bottom w:val="single" w:sz="6" w:space="0" w:color="000000"/>
              <w:right w:val="single" w:sz="8" w:space="0" w:color="000000"/>
            </w:tcBorders>
            <w:vAlign w:val="center"/>
            <w:hideMark/>
          </w:tcPr>
          <w:p w14:paraId="5654A650" w14:textId="77777777" w:rsidR="00AD02C1" w:rsidRDefault="00AD02C1">
            <w:pPr>
              <w:pStyle w:val="biaogeleft"/>
              <w:wordWrap w:val="0"/>
              <w:rPr>
                <w:sz w:val="21"/>
                <w:szCs w:val="21"/>
              </w:rPr>
            </w:pPr>
            <w:r>
              <w:rPr>
                <w:rFonts w:hAnsi="等线" w:hint="eastAsia"/>
                <w:color w:val="000000"/>
                <w:sz w:val="21"/>
                <w:szCs w:val="21"/>
              </w:rPr>
              <w:t>基金经理</w:t>
            </w:r>
          </w:p>
        </w:tc>
        <w:tc>
          <w:tcPr>
            <w:tcW w:w="4683" w:type="dxa"/>
            <w:gridSpan w:val="2"/>
            <w:tcBorders>
              <w:top w:val="single" w:sz="8" w:space="0" w:color="000000"/>
              <w:left w:val="single" w:sz="8" w:space="0" w:color="000000"/>
              <w:bottom w:val="single" w:sz="6" w:space="0" w:color="000000"/>
              <w:right w:val="single" w:sz="8" w:space="0" w:color="000000"/>
            </w:tcBorders>
            <w:vAlign w:val="center"/>
            <w:hideMark/>
          </w:tcPr>
          <w:p w14:paraId="087D220F" w14:textId="77777777" w:rsidR="00AD02C1" w:rsidRDefault="00AD02C1">
            <w:pPr>
              <w:pStyle w:val="biaogeleft"/>
              <w:wordWrap w:val="0"/>
              <w:rPr>
                <w:sz w:val="21"/>
                <w:szCs w:val="21"/>
              </w:rPr>
            </w:pPr>
            <w:r>
              <w:rPr>
                <w:rFonts w:hAnsi="等线" w:hint="eastAsia"/>
                <w:color w:val="000000"/>
                <w:sz w:val="21"/>
                <w:szCs w:val="21"/>
              </w:rPr>
              <w:t>开始担任本基金基金经理的日期</w:t>
            </w:r>
          </w:p>
        </w:tc>
        <w:tc>
          <w:tcPr>
            <w:tcW w:w="2551" w:type="dxa"/>
            <w:tcBorders>
              <w:top w:val="single" w:sz="8" w:space="0" w:color="000000"/>
              <w:left w:val="single" w:sz="8" w:space="0" w:color="000000"/>
              <w:bottom w:val="single" w:sz="6" w:space="0" w:color="000000"/>
              <w:right w:val="single" w:sz="8" w:space="0" w:color="000000"/>
            </w:tcBorders>
            <w:vAlign w:val="center"/>
            <w:hideMark/>
          </w:tcPr>
          <w:p w14:paraId="43904881" w14:textId="77777777" w:rsidR="00AD02C1" w:rsidRDefault="00AD02C1">
            <w:pPr>
              <w:pStyle w:val="biaogeleft"/>
              <w:wordWrap w:val="0"/>
              <w:rPr>
                <w:sz w:val="21"/>
                <w:szCs w:val="21"/>
              </w:rPr>
            </w:pPr>
            <w:r>
              <w:rPr>
                <w:rFonts w:hAnsi="等线" w:hint="eastAsia"/>
                <w:color w:val="000000"/>
                <w:sz w:val="21"/>
                <w:szCs w:val="21"/>
              </w:rPr>
              <w:t xml:space="preserve">证券从业日期 </w:t>
            </w:r>
          </w:p>
        </w:tc>
      </w:tr>
      <w:tr w:rsidR="00AD02C1" w14:paraId="28F5CCF0" w14:textId="77777777" w:rsidTr="00AD02C1">
        <w:tc>
          <w:tcPr>
            <w:tcW w:w="1862" w:type="dxa"/>
            <w:tcBorders>
              <w:top w:val="single" w:sz="8" w:space="0" w:color="000000"/>
              <w:left w:val="single" w:sz="8" w:space="0" w:color="000000"/>
              <w:bottom w:val="single" w:sz="8" w:space="0" w:color="000000"/>
              <w:right w:val="single" w:sz="8" w:space="0" w:color="000000"/>
            </w:tcBorders>
            <w:vAlign w:val="center"/>
            <w:hideMark/>
          </w:tcPr>
          <w:p w14:paraId="06848469" w14:textId="77777777" w:rsidR="00AD02C1" w:rsidRDefault="00AD02C1">
            <w:pPr>
              <w:pStyle w:val="biaogeleft"/>
              <w:wordWrap w:val="0"/>
              <w:rPr>
                <w:sz w:val="21"/>
                <w:szCs w:val="21"/>
              </w:rPr>
            </w:pPr>
            <w:r>
              <w:rPr>
                <w:rFonts w:hint="eastAsia"/>
                <w:sz w:val="21"/>
                <w:szCs w:val="21"/>
              </w:rPr>
              <w:t>宋巍巍</w:t>
            </w:r>
          </w:p>
        </w:tc>
        <w:tc>
          <w:tcPr>
            <w:tcW w:w="4683" w:type="dxa"/>
            <w:gridSpan w:val="2"/>
            <w:tcBorders>
              <w:top w:val="single" w:sz="8" w:space="0" w:color="000000"/>
              <w:left w:val="single" w:sz="8" w:space="0" w:color="000000"/>
              <w:bottom w:val="single" w:sz="8" w:space="0" w:color="000000"/>
              <w:right w:val="single" w:sz="8" w:space="0" w:color="000000"/>
            </w:tcBorders>
            <w:vAlign w:val="center"/>
            <w:hideMark/>
          </w:tcPr>
          <w:p w14:paraId="24D86845" w14:textId="77777777" w:rsidR="00AD02C1" w:rsidRDefault="00AD02C1">
            <w:pPr>
              <w:rPr>
                <w:szCs w:val="21"/>
              </w:rPr>
            </w:pPr>
            <w:r>
              <w:rPr>
                <w:szCs w:val="21"/>
              </w:rPr>
              <w:t>-</w:t>
            </w:r>
          </w:p>
        </w:tc>
        <w:tc>
          <w:tcPr>
            <w:tcW w:w="2551" w:type="dxa"/>
            <w:tcBorders>
              <w:top w:val="single" w:sz="8" w:space="0" w:color="000000"/>
              <w:left w:val="single" w:sz="8" w:space="0" w:color="000000"/>
              <w:bottom w:val="single" w:sz="8" w:space="0" w:color="000000"/>
              <w:right w:val="single" w:sz="8" w:space="0" w:color="000000"/>
            </w:tcBorders>
            <w:vAlign w:val="center"/>
            <w:hideMark/>
          </w:tcPr>
          <w:p w14:paraId="1D24D46B" w14:textId="77777777" w:rsidR="00AD02C1" w:rsidRDefault="00AD02C1">
            <w:pPr>
              <w:pStyle w:val="biaogeleft"/>
              <w:wordWrap w:val="0"/>
              <w:rPr>
                <w:sz w:val="21"/>
                <w:szCs w:val="21"/>
              </w:rPr>
            </w:pPr>
            <w:r>
              <w:rPr>
                <w:rFonts w:hint="eastAsia"/>
                <w:sz w:val="21"/>
                <w:szCs w:val="21"/>
              </w:rPr>
              <w:t>2016年07月21日</w:t>
            </w:r>
          </w:p>
        </w:tc>
      </w:tr>
      <w:tr w:rsidR="00AD02C1" w14:paraId="7B42968D" w14:textId="77777777" w:rsidTr="00AD02C1">
        <w:tc>
          <w:tcPr>
            <w:tcW w:w="1862" w:type="dxa"/>
            <w:tcBorders>
              <w:top w:val="single" w:sz="8" w:space="0" w:color="000000"/>
              <w:left w:val="single" w:sz="8" w:space="0" w:color="000000"/>
              <w:bottom w:val="single" w:sz="6" w:space="0" w:color="000000"/>
              <w:right w:val="single" w:sz="8" w:space="0" w:color="000000"/>
            </w:tcBorders>
            <w:vAlign w:val="center"/>
            <w:hideMark/>
          </w:tcPr>
          <w:p w14:paraId="78C3D246" w14:textId="77777777" w:rsidR="00AD02C1" w:rsidRDefault="00AD02C1">
            <w:pPr>
              <w:pStyle w:val="biaogeleft"/>
              <w:wordWrap w:val="0"/>
              <w:rPr>
                <w:sz w:val="21"/>
                <w:szCs w:val="21"/>
              </w:rPr>
            </w:pPr>
            <w:r>
              <w:rPr>
                <w:rFonts w:hint="eastAsia"/>
                <w:sz w:val="21"/>
                <w:szCs w:val="21"/>
              </w:rPr>
              <w:t>其他</w:t>
            </w:r>
          </w:p>
        </w:tc>
        <w:tc>
          <w:tcPr>
            <w:tcW w:w="7234" w:type="dxa"/>
            <w:gridSpan w:val="3"/>
            <w:tcBorders>
              <w:top w:val="single" w:sz="8" w:space="0" w:color="000000"/>
              <w:left w:val="single" w:sz="8" w:space="0" w:color="000000"/>
              <w:bottom w:val="single" w:sz="6" w:space="0" w:color="000000"/>
              <w:right w:val="single" w:sz="8" w:space="0" w:color="000000"/>
            </w:tcBorders>
            <w:vAlign w:val="center"/>
            <w:hideMark/>
          </w:tcPr>
          <w:p w14:paraId="0B66C563" w14:textId="77777777" w:rsidR="00AD02C1" w:rsidRDefault="00AD02C1">
            <w:pPr>
              <w:pStyle w:val="biaogeleft"/>
              <w:wordWrap w:val="0"/>
              <w:rPr>
                <w:rFonts w:hAnsi="等线"/>
                <w:color w:val="000000"/>
                <w:sz w:val="21"/>
                <w:szCs w:val="21"/>
              </w:rPr>
            </w:pPr>
            <w:r>
              <w:rPr>
                <w:rFonts w:hAnsi="等线" w:hint="eastAsia"/>
                <w:color w:val="000000"/>
                <w:sz w:val="21"/>
                <w:szCs w:val="21"/>
              </w:rPr>
              <w:t>基金合同生效满3年后的对应日（若无对应日则顺延至下一日），若基金资产净值低于2亿元，基金合同应当终止，且不得通过召开基金份额持有人大会的方式延续。若届时的法律法规或中国证监会规定发生变化，上述终止规定被取消、更改或补充，则本基金可以参照届时有效的法律法规或中国证监会规定执行。基金合同生效满3年后继续存续的，连续50个工作日出现基金份额持有人数量不满200人或者基金资产净值低于5000万元情形的，本基金将根据基金合同第十九部分的约定进行基金财产清算并终止，而无须召开基金份额持有人大会。</w:t>
            </w:r>
          </w:p>
          <w:p w14:paraId="00AF277B" w14:textId="77777777" w:rsidR="00AD02C1" w:rsidRDefault="00AD02C1">
            <w:pPr>
              <w:pStyle w:val="biaogeleft"/>
              <w:wordWrap w:val="0"/>
              <w:rPr>
                <w:rFonts w:hAnsi="等线"/>
                <w:color w:val="000000"/>
                <w:sz w:val="21"/>
                <w:szCs w:val="21"/>
              </w:rPr>
            </w:pPr>
            <w:r>
              <w:rPr>
                <w:rFonts w:hAnsi="等线" w:hint="eastAsia"/>
                <w:color w:val="000000"/>
                <w:sz w:val="21"/>
                <w:szCs w:val="21"/>
              </w:rPr>
              <w:t>法律法规或中国证监会另有规定时，从其规定。</w:t>
            </w:r>
          </w:p>
          <w:p w14:paraId="5A8A5C38" w14:textId="77777777" w:rsidR="00AD02C1" w:rsidRDefault="00AD02C1">
            <w:pPr>
              <w:pStyle w:val="biaogeleft"/>
              <w:wordWrap w:val="0"/>
              <w:rPr>
                <w:rFonts w:hAnsi="等线"/>
                <w:bCs/>
                <w:color w:val="000000"/>
                <w:sz w:val="21"/>
                <w:szCs w:val="21"/>
              </w:rPr>
            </w:pPr>
            <w:r>
              <w:rPr>
                <w:rFonts w:hAnsi="等线" w:hint="eastAsia"/>
                <w:bCs/>
                <w:color w:val="000000"/>
                <w:sz w:val="21"/>
                <w:szCs w:val="21"/>
              </w:rPr>
              <w:t>未来若出现标的指数不符合要求（因成份股价格波动等指数编制方法变动之外的因素致使标的指数不符合要求以及法律法规、监管机构另有规定的情形除外）、指数编制机构退出等情形，基金管理人应当自该情形发生之日起十个工作日内向中国证监会报告并提出解决方案，如更换基金标的指数、转换运作方式、与其他基金合并或者终止基金合同等，并在6个月内召集基金份额持有人大会进行表决，基金份额持有人大会未成功召开或就上述事项表决未通过的，基金合同终止。</w:t>
            </w:r>
          </w:p>
          <w:p w14:paraId="0900B594" w14:textId="77777777" w:rsidR="00AD02C1" w:rsidRDefault="00AD02C1">
            <w:pPr>
              <w:pStyle w:val="biaogeleft"/>
              <w:wordWrap w:val="0"/>
              <w:rPr>
                <w:rFonts w:hAnsi="等线"/>
                <w:color w:val="000000"/>
                <w:sz w:val="21"/>
                <w:szCs w:val="21"/>
              </w:rPr>
            </w:pPr>
            <w:r>
              <w:rPr>
                <w:rFonts w:hAnsi="等线" w:hint="eastAsia"/>
                <w:color w:val="000000"/>
                <w:sz w:val="21"/>
                <w:szCs w:val="21"/>
              </w:rPr>
              <w:lastRenderedPageBreak/>
              <w:t>若基金管理人注册并成立追踪标的指数的交易型开放式指数基金（ETF），在不改变本基金投资目标的前提下，本基金可变更为该ETF的联接基金。该联接基金将其绝大部分基金财产投资于跟踪同一标的指数的ETF，紧密跟踪标的指数表现，追求跟踪偏离度和跟踪误差的最小化。以上变更需经基金管理人和基金托管人协商一致后修改基金合同，但不需召开基金份额持有人大会审议。</w:t>
            </w:r>
          </w:p>
        </w:tc>
      </w:tr>
    </w:tbl>
    <w:p w14:paraId="44968A5F" w14:textId="77777777" w:rsidR="00AD02C1" w:rsidRDefault="00AD02C1" w:rsidP="00AD02C1">
      <w:pPr>
        <w:spacing w:line="288" w:lineRule="auto"/>
        <w:rPr>
          <w:rFonts w:hAnsi="等线"/>
          <w:color w:val="000000"/>
          <w:szCs w:val="21"/>
        </w:rPr>
      </w:pPr>
    </w:p>
    <w:p w14:paraId="5E472EC2" w14:textId="77777777" w:rsidR="00AD02C1" w:rsidRDefault="00AD02C1" w:rsidP="00AD02C1">
      <w:pPr>
        <w:pStyle w:val="zhangjiep"/>
        <w:rPr>
          <w:rFonts w:hAnsi="等线"/>
          <w:color w:val="000000"/>
          <w:sz w:val="21"/>
          <w:szCs w:val="21"/>
        </w:rPr>
      </w:pPr>
      <w:r>
        <w:rPr>
          <w:rFonts w:hAnsi="等线" w:hint="eastAsia"/>
          <w:b/>
          <w:color w:val="000000"/>
          <w:sz w:val="21"/>
          <w:szCs w:val="21"/>
        </w:rPr>
        <w:t>二、 基金投资与净值表现</w:t>
      </w:r>
    </w:p>
    <w:p w14:paraId="6BD9B6EB" w14:textId="77777777" w:rsidR="00AD02C1" w:rsidRDefault="00AD02C1" w:rsidP="00AD02C1">
      <w:pPr>
        <w:pStyle w:val="zhangjiep"/>
        <w:rPr>
          <w:rFonts w:hAnsi="等线"/>
          <w:color w:val="000000"/>
          <w:sz w:val="21"/>
          <w:szCs w:val="21"/>
        </w:rPr>
      </w:pPr>
      <w:r>
        <w:rPr>
          <w:rFonts w:hAnsi="等线" w:hint="eastAsia"/>
          <w:b/>
          <w:color w:val="000000"/>
          <w:sz w:val="21"/>
          <w:szCs w:val="21"/>
        </w:rPr>
        <w:t xml:space="preserve">（一）投资目标与投资策略 </w:t>
      </w:r>
    </w:p>
    <w:p w14:paraId="1A4B4B89"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请投资者阅读《招募说明书》"基金的投资"章节了解详细情况</w:t>
      </w:r>
    </w:p>
    <w:tbl>
      <w:tblPr>
        <w:tblW w:w="9045" w:type="dxa"/>
        <w:tblInd w:w="108" w:type="dxa"/>
        <w:tblLook w:val="04A0" w:firstRow="1" w:lastRow="0" w:firstColumn="1" w:lastColumn="0" w:noHBand="0" w:noVBand="1"/>
      </w:tblPr>
      <w:tblGrid>
        <w:gridCol w:w="1758"/>
        <w:gridCol w:w="7287"/>
      </w:tblGrid>
      <w:tr w:rsidR="00AD02C1" w14:paraId="54FE2E31" w14:textId="77777777" w:rsidTr="00AD02C1">
        <w:tc>
          <w:tcPr>
            <w:tcW w:w="1755" w:type="dxa"/>
            <w:tcBorders>
              <w:top w:val="single" w:sz="8" w:space="0" w:color="000000"/>
              <w:left w:val="single" w:sz="8" w:space="0" w:color="000000"/>
              <w:bottom w:val="single" w:sz="6" w:space="0" w:color="000000"/>
              <w:right w:val="single" w:sz="8" w:space="0" w:color="000000"/>
            </w:tcBorders>
            <w:vAlign w:val="center"/>
            <w:hideMark/>
          </w:tcPr>
          <w:p w14:paraId="559D8B7A" w14:textId="77777777" w:rsidR="00AD02C1" w:rsidRDefault="00AD02C1">
            <w:pPr>
              <w:pStyle w:val="biaogeleft"/>
              <w:wordWrap w:val="0"/>
            </w:pPr>
            <w:r>
              <w:rPr>
                <w:rFonts w:hAnsi="等线" w:hint="eastAsia"/>
                <w:color w:val="000000"/>
                <w:sz w:val="21"/>
                <w:szCs w:val="21"/>
              </w:rPr>
              <w:t>投资目标</w:t>
            </w:r>
          </w:p>
        </w:tc>
        <w:tc>
          <w:tcPr>
            <w:tcW w:w="7275" w:type="dxa"/>
            <w:tcBorders>
              <w:top w:val="single" w:sz="8" w:space="0" w:color="000000"/>
              <w:left w:val="single" w:sz="8" w:space="0" w:color="000000"/>
              <w:bottom w:val="single" w:sz="6" w:space="0" w:color="000000"/>
              <w:right w:val="single" w:sz="8" w:space="0" w:color="000000"/>
            </w:tcBorders>
            <w:vAlign w:val="center"/>
            <w:hideMark/>
          </w:tcPr>
          <w:p w14:paraId="17FCB6D1" w14:textId="77777777" w:rsidR="00AD02C1" w:rsidRDefault="00AD02C1">
            <w:pPr>
              <w:pStyle w:val="neirong"/>
              <w:wordWrap w:val="0"/>
              <w:spacing w:before="0"/>
              <w:ind w:left="0" w:firstLineChars="200" w:firstLine="420"/>
              <w:rPr>
                <w:rFonts w:hAnsi="等线"/>
                <w:color w:val="000000"/>
                <w:sz w:val="21"/>
                <w:szCs w:val="21"/>
              </w:rPr>
            </w:pPr>
            <w:r>
              <w:rPr>
                <w:rFonts w:hAnsi="等线" w:hint="eastAsia"/>
                <w:color w:val="000000"/>
                <w:sz w:val="21"/>
                <w:szCs w:val="21"/>
              </w:rPr>
              <w:t>紧密跟踪业绩比较基准，追求跟踪偏离度和跟踪误差的最小化。</w:t>
            </w:r>
          </w:p>
        </w:tc>
      </w:tr>
      <w:tr w:rsidR="00AD02C1" w14:paraId="408ACA6E" w14:textId="77777777" w:rsidTr="00AD02C1">
        <w:tc>
          <w:tcPr>
            <w:tcW w:w="1755" w:type="dxa"/>
            <w:tcBorders>
              <w:top w:val="single" w:sz="8" w:space="0" w:color="000000"/>
              <w:left w:val="single" w:sz="8" w:space="0" w:color="000000"/>
              <w:bottom w:val="single" w:sz="6" w:space="0" w:color="000000"/>
              <w:right w:val="single" w:sz="8" w:space="0" w:color="000000"/>
            </w:tcBorders>
            <w:vAlign w:val="center"/>
            <w:hideMark/>
          </w:tcPr>
          <w:p w14:paraId="363EE578" w14:textId="77777777" w:rsidR="00AD02C1" w:rsidRDefault="00AD02C1">
            <w:pPr>
              <w:pStyle w:val="biaogeleft"/>
              <w:wordWrap w:val="0"/>
            </w:pPr>
            <w:r>
              <w:rPr>
                <w:rFonts w:hAnsi="等线" w:hint="eastAsia"/>
                <w:color w:val="000000"/>
                <w:sz w:val="21"/>
                <w:szCs w:val="21"/>
              </w:rPr>
              <w:t>投资范围</w:t>
            </w:r>
          </w:p>
        </w:tc>
        <w:tc>
          <w:tcPr>
            <w:tcW w:w="7275" w:type="dxa"/>
            <w:tcBorders>
              <w:top w:val="single" w:sz="8" w:space="0" w:color="000000"/>
              <w:left w:val="single" w:sz="8" w:space="0" w:color="000000"/>
              <w:bottom w:val="single" w:sz="6" w:space="0" w:color="000000"/>
              <w:right w:val="single" w:sz="8" w:space="0" w:color="000000"/>
            </w:tcBorders>
            <w:vAlign w:val="center"/>
            <w:hideMark/>
          </w:tcPr>
          <w:p w14:paraId="25F5F401" w14:textId="77777777" w:rsidR="00AD02C1" w:rsidRDefault="00AD02C1">
            <w:pPr>
              <w:pStyle w:val="neirong"/>
              <w:wordWrap w:val="0"/>
              <w:ind w:firstLine="480"/>
              <w:rPr>
                <w:rFonts w:hAnsi="等线"/>
                <w:color w:val="000000"/>
                <w:sz w:val="21"/>
                <w:szCs w:val="21"/>
              </w:rPr>
            </w:pPr>
            <w:r>
              <w:rPr>
                <w:rFonts w:hAnsi="等线" w:hint="eastAsia"/>
                <w:color w:val="000000"/>
                <w:sz w:val="21"/>
                <w:szCs w:val="21"/>
              </w:rPr>
              <w:t>本基金的标的指数为上证科创板100指数。</w:t>
            </w:r>
          </w:p>
          <w:p w14:paraId="679E81CF" w14:textId="77777777" w:rsidR="00AD02C1" w:rsidRDefault="00AD02C1">
            <w:pPr>
              <w:pStyle w:val="neirong"/>
              <w:wordWrap w:val="0"/>
              <w:ind w:firstLine="480"/>
              <w:rPr>
                <w:rFonts w:hAnsi="等线"/>
                <w:color w:val="000000"/>
                <w:sz w:val="21"/>
                <w:szCs w:val="21"/>
              </w:rPr>
            </w:pPr>
            <w:r>
              <w:rPr>
                <w:rFonts w:hAnsi="等线" w:hint="eastAsia"/>
                <w:color w:val="000000"/>
                <w:sz w:val="21"/>
                <w:szCs w:val="21"/>
              </w:rPr>
              <w:t>本基金的投资范围包括标的指数成份股及备选成份股（含存托凭证）、除标的指数成份股及备选成份股以外的其他股票（包括创业板、科创板以及其他经中国证监会允许发行上市的股票）、存托凭证、港股通标的股票、债券（包括国债、地方政府债、政府支持机构债、金融债、企业债、公司债、央行票据、中期票据、短期融资券、超短期融资券、可转换债券、可交换债券、公开发行的次级债、分离交易可转债等）、资产支持证券、债券回购、银行存款、同业存单、现金、衍生工具（包括国债期货、股指期货、股票期权）、以及法律法规或中国证监会允许基金投资的其他金融工具（但须符合中国证监会的相关规定）。</w:t>
            </w:r>
          </w:p>
          <w:p w14:paraId="46E6CBEC" w14:textId="77777777" w:rsidR="00AD02C1" w:rsidRDefault="00AD02C1">
            <w:pPr>
              <w:pStyle w:val="neirong"/>
              <w:wordWrap w:val="0"/>
              <w:ind w:firstLine="480"/>
              <w:rPr>
                <w:rFonts w:hAnsi="等线"/>
                <w:color w:val="000000"/>
                <w:sz w:val="21"/>
                <w:szCs w:val="21"/>
              </w:rPr>
            </w:pPr>
            <w:r>
              <w:rPr>
                <w:rFonts w:hAnsi="等线" w:hint="eastAsia"/>
                <w:color w:val="000000"/>
                <w:sz w:val="21"/>
                <w:szCs w:val="21"/>
              </w:rPr>
              <w:t>本基金可根据法律法规的规定参与融资、转融通证券出借业务。</w:t>
            </w:r>
          </w:p>
          <w:p w14:paraId="1F2A01E4" w14:textId="77777777" w:rsidR="00AD02C1" w:rsidRDefault="00AD02C1">
            <w:pPr>
              <w:pStyle w:val="neirong"/>
              <w:wordWrap w:val="0"/>
              <w:ind w:firstLine="480"/>
              <w:rPr>
                <w:rFonts w:hAnsi="等线"/>
                <w:color w:val="000000"/>
                <w:sz w:val="21"/>
                <w:szCs w:val="21"/>
              </w:rPr>
            </w:pPr>
            <w:r>
              <w:rPr>
                <w:rFonts w:hAnsi="等线" w:hint="eastAsia"/>
                <w:color w:val="000000"/>
                <w:sz w:val="21"/>
                <w:szCs w:val="21"/>
              </w:rPr>
              <w:t>如法律法规或监管机构以后允许基金投资其他品种，基金管理人在履行适当程序后，可以将其纳入投资范围。</w:t>
            </w:r>
          </w:p>
          <w:p w14:paraId="2997438C" w14:textId="77777777" w:rsidR="00AD02C1" w:rsidRDefault="00AD02C1">
            <w:pPr>
              <w:pStyle w:val="neirong"/>
              <w:wordWrap w:val="0"/>
              <w:ind w:firstLine="480"/>
              <w:rPr>
                <w:rFonts w:hAnsi="等线"/>
                <w:color w:val="000000"/>
                <w:sz w:val="21"/>
                <w:szCs w:val="21"/>
              </w:rPr>
            </w:pPr>
            <w:r>
              <w:rPr>
                <w:rFonts w:hAnsi="等线" w:hint="eastAsia"/>
                <w:color w:val="000000"/>
                <w:sz w:val="21"/>
                <w:szCs w:val="21"/>
              </w:rPr>
              <w:t>基金的投资组合比例为：</w:t>
            </w:r>
          </w:p>
          <w:p w14:paraId="2B0722C9" w14:textId="77777777" w:rsidR="00AD02C1" w:rsidRDefault="00AD02C1">
            <w:pPr>
              <w:pStyle w:val="neirong"/>
              <w:wordWrap w:val="0"/>
              <w:ind w:firstLine="480"/>
              <w:rPr>
                <w:rFonts w:hAnsi="等线"/>
                <w:color w:val="000000"/>
                <w:sz w:val="21"/>
                <w:szCs w:val="21"/>
              </w:rPr>
            </w:pPr>
            <w:r>
              <w:rPr>
                <w:rFonts w:hAnsi="等线" w:hint="eastAsia"/>
                <w:color w:val="000000"/>
                <w:sz w:val="21"/>
                <w:szCs w:val="21"/>
              </w:rPr>
              <w:t>本基金投资于标的指数成份股及备选成份股的资产不低于非现金资产的80%且不低于基金资产净值的90%，投资港股通标的股票的比例不超过本基金股票资产的10%；每个交易日日终，在扣除股指期货、国债期货和股票期权合约需缴纳的交易保证金后，本基金应当保持不低于基金资产净值5%的现金（不包括结算备付金、存出保证金、应收申购款等）或到期日在一年以内的政府债券。</w:t>
            </w:r>
          </w:p>
          <w:p w14:paraId="4BCE3317" w14:textId="77777777" w:rsidR="00AD02C1" w:rsidRDefault="00AD02C1">
            <w:pPr>
              <w:pStyle w:val="neirong"/>
              <w:wordWrap w:val="0"/>
              <w:ind w:firstLine="480"/>
              <w:rPr>
                <w:rFonts w:hAnsi="等线"/>
                <w:color w:val="000000"/>
                <w:sz w:val="21"/>
                <w:szCs w:val="21"/>
              </w:rPr>
            </w:pPr>
            <w:r>
              <w:rPr>
                <w:rFonts w:hAnsi="等线" w:hint="eastAsia"/>
                <w:color w:val="000000"/>
                <w:sz w:val="21"/>
                <w:szCs w:val="21"/>
              </w:rPr>
              <w:t>如果法律法规或中国证监会变更投资品种的投资比例限制，基金管理人在履行适当程序后，可以调整上述投资品种的投资比例。</w:t>
            </w:r>
          </w:p>
        </w:tc>
      </w:tr>
      <w:tr w:rsidR="00AD02C1" w14:paraId="66113870" w14:textId="77777777" w:rsidTr="00AD02C1">
        <w:tc>
          <w:tcPr>
            <w:tcW w:w="1755" w:type="dxa"/>
            <w:tcBorders>
              <w:top w:val="single" w:sz="8" w:space="0" w:color="000000"/>
              <w:left w:val="single" w:sz="8" w:space="0" w:color="000000"/>
              <w:bottom w:val="single" w:sz="6" w:space="0" w:color="000000"/>
              <w:right w:val="single" w:sz="8" w:space="0" w:color="000000"/>
            </w:tcBorders>
            <w:vAlign w:val="center"/>
            <w:hideMark/>
          </w:tcPr>
          <w:p w14:paraId="2784A5F8" w14:textId="77777777" w:rsidR="00AD02C1" w:rsidRDefault="00AD02C1">
            <w:pPr>
              <w:pStyle w:val="biaogeleft"/>
              <w:wordWrap w:val="0"/>
            </w:pPr>
            <w:r>
              <w:rPr>
                <w:rFonts w:hAnsi="等线" w:hint="eastAsia"/>
                <w:color w:val="000000"/>
                <w:sz w:val="21"/>
                <w:szCs w:val="21"/>
              </w:rPr>
              <w:t>主要投资策略</w:t>
            </w:r>
          </w:p>
        </w:tc>
        <w:tc>
          <w:tcPr>
            <w:tcW w:w="7275" w:type="dxa"/>
            <w:tcBorders>
              <w:top w:val="single" w:sz="8" w:space="0" w:color="000000"/>
              <w:left w:val="single" w:sz="8" w:space="0" w:color="000000"/>
              <w:bottom w:val="single" w:sz="6" w:space="0" w:color="000000"/>
              <w:right w:val="single" w:sz="8" w:space="0" w:color="000000"/>
            </w:tcBorders>
            <w:vAlign w:val="center"/>
            <w:hideMark/>
          </w:tcPr>
          <w:p w14:paraId="26DFE3ED"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1、资产配置策略</w:t>
            </w:r>
          </w:p>
          <w:p w14:paraId="7637C3DA"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本基金投资于标的指数成份股及备选成份股的资产不低于非现金资产的80%且不低于基金资产净值的90%，投资港股通标的股票的比例不超过本基金</w:t>
            </w:r>
            <w:r>
              <w:rPr>
                <w:rFonts w:hAnsi="等线" w:hint="eastAsia"/>
                <w:bCs/>
                <w:color w:val="000000"/>
                <w:sz w:val="21"/>
                <w:szCs w:val="21"/>
              </w:rPr>
              <w:lastRenderedPageBreak/>
              <w:t>股票资产的10%；每个交易日日终，在扣除股指期货、国债期货和股票期权合约需缴纳的交易保证金后，本基金应当保持不低于基金资产净值5%的现金（不包括结算备付金、存出保证金、应收申购款等）或者到期日在一年以内的政府债券。基金管理人将综合考虑市场情况、基金资产的流动性要求及投资比例限制等因素，确定股票、债券等资产的具体配置比例。</w:t>
            </w:r>
          </w:p>
          <w:p w14:paraId="54616A58"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本基金力争将日均跟踪偏离度的绝对值控制在0.35%以内，年化跟踪误差控制在4%以内。如因标的指数编制规则调整或其他因素导致跟踪偏离度和跟踪误差超过上述范围，基金管理人应采取合理措施避免跟踪偏离度和跟踪误差进一步扩大。</w:t>
            </w:r>
          </w:p>
          <w:p w14:paraId="38399E64"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本基金运作过程中，当标的指数成份股发生明显负面事件面临退市风险，且指数编制机构暂未作出调整的，基金管理人应当按照基金份额持有人利益优先的原则，履行内部决策程序后及时对相关成份股进行调整。</w:t>
            </w:r>
          </w:p>
          <w:p w14:paraId="157E35CD"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2、股票投资策略</w:t>
            </w:r>
          </w:p>
          <w:p w14:paraId="25E2BA4A"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本基金主要采取完全复制法，即完全按照标的指数的成份股组成及其权重构建基金股票投资组合，并根据标的指数成份股及其权重的变动进行相应调整。但在因特殊情形导致基金无法完全投资于标的指数成份股时，基金管理人可采取包括成份股替代策略在内的其他指数投资技术适当调整基金投资组合，以达到紧密跟踪标的指数的目的。特殊情形包括但不限于：（1）法律法规的限制；（2）标的指数成份股流动性严重不足；（3）标的指数的成份股票长期停牌；（4）标的指数成份股进行配股、增发或被吸收合并；（5）标的指数成份股派发现金股息；（6）指数成份股定期或临时调整；（7）标的指数编制方法发生变化；（8）其他基金管理人认定不适合投资的股票或可能严重限制本基金跟踪标的指数的合理原因等。</w:t>
            </w:r>
          </w:p>
          <w:p w14:paraId="061160EF"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3、港股通标的股票投资策略</w:t>
            </w:r>
          </w:p>
          <w:p w14:paraId="63C05F34"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在特殊情况下，本基金将少量投资于港股通标的股票以进行替代复制。对于同时有A股、H股的指数成份公司，如果该公司A股长期停牌，组合无法买入该股票时，可以买入该公司H股进行替代。</w:t>
            </w:r>
          </w:p>
        </w:tc>
      </w:tr>
      <w:tr w:rsidR="00AD02C1" w14:paraId="1E27F779" w14:textId="77777777" w:rsidTr="00AD02C1">
        <w:tc>
          <w:tcPr>
            <w:tcW w:w="1755" w:type="dxa"/>
            <w:tcBorders>
              <w:top w:val="single" w:sz="8" w:space="0" w:color="000000"/>
              <w:left w:val="single" w:sz="8" w:space="0" w:color="000000"/>
              <w:bottom w:val="single" w:sz="6" w:space="0" w:color="000000"/>
              <w:right w:val="single" w:sz="8" w:space="0" w:color="000000"/>
            </w:tcBorders>
            <w:vAlign w:val="center"/>
            <w:hideMark/>
          </w:tcPr>
          <w:p w14:paraId="3DAF05C4" w14:textId="77777777" w:rsidR="00AD02C1" w:rsidRDefault="00AD02C1">
            <w:pPr>
              <w:pStyle w:val="biaogeleft"/>
              <w:wordWrap w:val="0"/>
            </w:pPr>
            <w:r>
              <w:rPr>
                <w:rFonts w:hAnsi="等线" w:hint="eastAsia"/>
                <w:color w:val="000000"/>
                <w:sz w:val="21"/>
                <w:szCs w:val="21"/>
              </w:rPr>
              <w:lastRenderedPageBreak/>
              <w:t>业绩比较基准</w:t>
            </w:r>
          </w:p>
        </w:tc>
        <w:tc>
          <w:tcPr>
            <w:tcW w:w="7275" w:type="dxa"/>
            <w:tcBorders>
              <w:top w:val="single" w:sz="8" w:space="0" w:color="000000"/>
              <w:left w:val="single" w:sz="8" w:space="0" w:color="000000"/>
              <w:bottom w:val="single" w:sz="6" w:space="0" w:color="000000"/>
              <w:right w:val="single" w:sz="8" w:space="0" w:color="000000"/>
            </w:tcBorders>
            <w:vAlign w:val="center"/>
            <w:hideMark/>
          </w:tcPr>
          <w:p w14:paraId="7E7D0B50"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上证科创板100指数收益率×95%+银行活期存款利率（税后）×5%</w:t>
            </w:r>
          </w:p>
        </w:tc>
      </w:tr>
      <w:tr w:rsidR="00AD02C1" w14:paraId="3B14D68B" w14:textId="77777777" w:rsidTr="00AD02C1">
        <w:tc>
          <w:tcPr>
            <w:tcW w:w="1755" w:type="dxa"/>
            <w:tcBorders>
              <w:top w:val="single" w:sz="8" w:space="0" w:color="000000"/>
              <w:left w:val="single" w:sz="8" w:space="0" w:color="000000"/>
              <w:bottom w:val="single" w:sz="6" w:space="0" w:color="000000"/>
              <w:right w:val="single" w:sz="8" w:space="0" w:color="000000"/>
            </w:tcBorders>
            <w:vAlign w:val="center"/>
            <w:hideMark/>
          </w:tcPr>
          <w:p w14:paraId="7E4D96B9" w14:textId="77777777" w:rsidR="00AD02C1" w:rsidRDefault="00AD02C1">
            <w:pPr>
              <w:pStyle w:val="biaogeleft"/>
              <w:wordWrap w:val="0"/>
            </w:pPr>
            <w:r>
              <w:rPr>
                <w:rFonts w:hAnsi="等线" w:hint="eastAsia"/>
                <w:color w:val="000000"/>
                <w:sz w:val="21"/>
                <w:szCs w:val="21"/>
              </w:rPr>
              <w:t>风险收益特征</w:t>
            </w:r>
          </w:p>
        </w:tc>
        <w:tc>
          <w:tcPr>
            <w:tcW w:w="7275" w:type="dxa"/>
            <w:tcBorders>
              <w:top w:val="single" w:sz="8" w:space="0" w:color="000000"/>
              <w:left w:val="single" w:sz="8" w:space="0" w:color="000000"/>
              <w:bottom w:val="single" w:sz="6" w:space="0" w:color="000000"/>
              <w:right w:val="single" w:sz="8" w:space="0" w:color="000000"/>
            </w:tcBorders>
            <w:vAlign w:val="center"/>
            <w:hideMark/>
          </w:tcPr>
          <w:p w14:paraId="019C3923"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本基金属于股票型基金，其预期收益及预期风险水平高于混合型基金、债券型基金与货币市场基金。本基金为指数基金，主要采用完全复制法跟踪标的指数的表现，具有与标的指数相似的风险收益特征。</w:t>
            </w:r>
          </w:p>
          <w:p w14:paraId="6148A5FD" w14:textId="77777777" w:rsidR="00AD02C1" w:rsidRDefault="00AD02C1">
            <w:pPr>
              <w:pStyle w:val="neirong"/>
              <w:wordWrap w:val="0"/>
              <w:ind w:firstLine="480"/>
              <w:rPr>
                <w:rFonts w:hAnsi="等线"/>
                <w:bCs/>
                <w:color w:val="000000"/>
                <w:sz w:val="21"/>
                <w:szCs w:val="21"/>
              </w:rPr>
            </w:pPr>
            <w:r>
              <w:rPr>
                <w:rFonts w:hAnsi="等线" w:hint="eastAsia"/>
                <w:bCs/>
                <w:color w:val="000000"/>
                <w:sz w:val="21"/>
                <w:szCs w:val="21"/>
              </w:rPr>
              <w:t>本基金如果投资港股通标的股票，还可能面临港股通机制下因投资环境、投资标的、市场制度以及交易规则等差异带来的特有风险。</w:t>
            </w:r>
          </w:p>
        </w:tc>
      </w:tr>
    </w:tbl>
    <w:p w14:paraId="29776C90" w14:textId="77777777" w:rsidR="00AD02C1" w:rsidRDefault="00AD02C1" w:rsidP="00AD02C1">
      <w:pPr>
        <w:spacing w:line="288" w:lineRule="auto"/>
        <w:rPr>
          <w:rFonts w:hAnsi="等线"/>
          <w:color w:val="000000"/>
          <w:szCs w:val="21"/>
        </w:rPr>
      </w:pPr>
    </w:p>
    <w:p w14:paraId="658C9086" w14:textId="77777777" w:rsidR="00AD02C1" w:rsidRDefault="00AD02C1" w:rsidP="00AD02C1">
      <w:pPr>
        <w:pStyle w:val="zhangjiep"/>
        <w:rPr>
          <w:rFonts w:hAnsi="等线"/>
          <w:color w:val="000000"/>
          <w:sz w:val="21"/>
          <w:szCs w:val="21"/>
        </w:rPr>
      </w:pPr>
      <w:r>
        <w:rPr>
          <w:rFonts w:hAnsi="等线" w:hint="eastAsia"/>
          <w:b/>
          <w:color w:val="000000"/>
          <w:sz w:val="21"/>
          <w:szCs w:val="21"/>
        </w:rPr>
        <w:t>三、 投资本基金涉及的费用</w:t>
      </w:r>
    </w:p>
    <w:p w14:paraId="5C915811" w14:textId="77777777" w:rsidR="00AD02C1" w:rsidRDefault="00AD02C1" w:rsidP="00AD02C1">
      <w:pPr>
        <w:pStyle w:val="zhangjiep"/>
        <w:rPr>
          <w:rFonts w:hAnsi="等线"/>
          <w:color w:val="000000"/>
          <w:sz w:val="21"/>
          <w:szCs w:val="21"/>
        </w:rPr>
      </w:pPr>
      <w:r>
        <w:rPr>
          <w:rFonts w:hAnsi="等线" w:hint="eastAsia"/>
          <w:b/>
          <w:color w:val="000000"/>
          <w:sz w:val="21"/>
          <w:szCs w:val="21"/>
        </w:rPr>
        <w:t xml:space="preserve">（一）基金销售相关费用 </w:t>
      </w:r>
    </w:p>
    <w:p w14:paraId="4EEC79E3" w14:textId="77777777" w:rsidR="00AD02C1" w:rsidRDefault="00AD02C1" w:rsidP="00AD02C1">
      <w:pPr>
        <w:pStyle w:val="biaogeleft"/>
        <w:rPr>
          <w:rFonts w:hAnsi="等线"/>
          <w:color w:val="000000"/>
          <w:sz w:val="21"/>
          <w:szCs w:val="21"/>
        </w:rPr>
      </w:pPr>
      <w:r>
        <w:rPr>
          <w:rFonts w:hAnsi="等线" w:hint="eastAsia"/>
          <w:color w:val="000000"/>
          <w:sz w:val="21"/>
          <w:szCs w:val="21"/>
        </w:rPr>
        <w:lastRenderedPageBreak/>
        <w:t xml:space="preserve">以下费用在认购／申购／赎回基金过程中收取： </w:t>
      </w:r>
    </w:p>
    <w:p w14:paraId="610CE104" w14:textId="77777777" w:rsidR="00AD02C1" w:rsidRDefault="00AD02C1" w:rsidP="00AD02C1">
      <w:pPr>
        <w:pStyle w:val="biaogeleft"/>
        <w:rPr>
          <w:rFonts w:hAnsi="等线"/>
          <w:color w:val="000000"/>
          <w:sz w:val="21"/>
          <w:szCs w:val="21"/>
        </w:rPr>
      </w:pPr>
      <w:r>
        <w:rPr>
          <w:rFonts w:hAnsi="等线" w:hint="eastAsia"/>
          <w:color w:val="000000"/>
          <w:sz w:val="21"/>
          <w:szCs w:val="21"/>
        </w:rPr>
        <w:t>中欧上证科创板100指数发起A</w:t>
      </w:r>
    </w:p>
    <w:tbl>
      <w:tblPr>
        <w:tblW w:w="9045" w:type="dxa"/>
        <w:tblInd w:w="108" w:type="dxa"/>
        <w:tblLook w:val="04A0" w:firstRow="1" w:lastRow="0" w:firstColumn="1" w:lastColumn="0" w:noHBand="0" w:noVBand="1"/>
      </w:tblPr>
      <w:tblGrid>
        <w:gridCol w:w="1356"/>
        <w:gridCol w:w="4523"/>
        <w:gridCol w:w="1809"/>
        <w:gridCol w:w="1357"/>
      </w:tblGrid>
      <w:tr w:rsidR="00AD02C1" w14:paraId="4F86C72C" w14:textId="77777777" w:rsidTr="00AD02C1">
        <w:tc>
          <w:tcPr>
            <w:tcW w:w="750" w:type="pct"/>
            <w:tcBorders>
              <w:top w:val="single" w:sz="8" w:space="0" w:color="000000"/>
              <w:left w:val="single" w:sz="8" w:space="0" w:color="000000"/>
              <w:bottom w:val="single" w:sz="6" w:space="0" w:color="000000"/>
              <w:right w:val="single" w:sz="8" w:space="0" w:color="000000"/>
            </w:tcBorders>
            <w:vAlign w:val="center"/>
            <w:hideMark/>
          </w:tcPr>
          <w:p w14:paraId="46213157" w14:textId="77777777" w:rsidR="00AD02C1" w:rsidRDefault="00AD02C1">
            <w:pPr>
              <w:pStyle w:val="biaogeleft"/>
              <w:wordWrap w:val="0"/>
            </w:pPr>
            <w:r>
              <w:rPr>
                <w:rFonts w:hAnsi="等线" w:hint="eastAsia"/>
                <w:color w:val="000000"/>
                <w:sz w:val="21"/>
                <w:szCs w:val="21"/>
              </w:rPr>
              <w:t>费用类型</w:t>
            </w:r>
          </w:p>
        </w:tc>
        <w:tc>
          <w:tcPr>
            <w:tcW w:w="2500" w:type="pct"/>
            <w:tcBorders>
              <w:top w:val="single" w:sz="8" w:space="0" w:color="000000"/>
              <w:left w:val="single" w:sz="8" w:space="0" w:color="000000"/>
              <w:bottom w:val="single" w:sz="6" w:space="0" w:color="000000"/>
              <w:right w:val="single" w:sz="8" w:space="0" w:color="000000"/>
            </w:tcBorders>
            <w:vAlign w:val="center"/>
            <w:hideMark/>
          </w:tcPr>
          <w:p w14:paraId="026EBD1D" w14:textId="77777777" w:rsidR="00AD02C1" w:rsidRDefault="00AD02C1">
            <w:pPr>
              <w:pStyle w:val="biaogeleft"/>
              <w:wordWrap w:val="0"/>
            </w:pPr>
            <w:r>
              <w:rPr>
                <w:rFonts w:hAnsi="等线" w:hint="eastAsia"/>
                <w:color w:val="000000"/>
                <w:sz w:val="21"/>
                <w:szCs w:val="21"/>
              </w:rPr>
              <w:t>份额（S）或金额（M）/持有期限（N）</w:t>
            </w:r>
          </w:p>
        </w:tc>
        <w:tc>
          <w:tcPr>
            <w:tcW w:w="1000" w:type="pct"/>
            <w:tcBorders>
              <w:top w:val="single" w:sz="8" w:space="0" w:color="000000"/>
              <w:left w:val="single" w:sz="8" w:space="0" w:color="000000"/>
              <w:bottom w:val="single" w:sz="6" w:space="0" w:color="000000"/>
              <w:right w:val="single" w:sz="8" w:space="0" w:color="000000"/>
            </w:tcBorders>
            <w:vAlign w:val="center"/>
            <w:hideMark/>
          </w:tcPr>
          <w:p w14:paraId="6D59A13A" w14:textId="77777777" w:rsidR="00AD02C1" w:rsidRDefault="00AD02C1">
            <w:pPr>
              <w:pStyle w:val="biaogeleft"/>
              <w:wordWrap w:val="0"/>
            </w:pPr>
            <w:r>
              <w:rPr>
                <w:rFonts w:hAnsi="等线" w:hint="eastAsia"/>
                <w:color w:val="000000"/>
                <w:sz w:val="21"/>
                <w:szCs w:val="21"/>
              </w:rPr>
              <w:t>收费方式/费率</w:t>
            </w:r>
          </w:p>
        </w:tc>
        <w:tc>
          <w:tcPr>
            <w:tcW w:w="750" w:type="pct"/>
            <w:tcBorders>
              <w:top w:val="single" w:sz="8" w:space="0" w:color="000000"/>
              <w:left w:val="single" w:sz="8" w:space="0" w:color="000000"/>
              <w:bottom w:val="single" w:sz="6" w:space="0" w:color="000000"/>
              <w:right w:val="single" w:sz="8" w:space="0" w:color="000000"/>
            </w:tcBorders>
            <w:vAlign w:val="center"/>
            <w:hideMark/>
          </w:tcPr>
          <w:p w14:paraId="228B27E8" w14:textId="77777777" w:rsidR="00AD02C1" w:rsidRDefault="00AD02C1">
            <w:pPr>
              <w:pStyle w:val="biaogeleft"/>
              <w:wordWrap w:val="0"/>
            </w:pPr>
            <w:r>
              <w:rPr>
                <w:rFonts w:hAnsi="等线" w:hint="eastAsia"/>
                <w:color w:val="000000"/>
                <w:sz w:val="21"/>
                <w:szCs w:val="21"/>
              </w:rPr>
              <w:t>备注</w:t>
            </w:r>
          </w:p>
        </w:tc>
      </w:tr>
      <w:tr w:rsidR="00AD02C1" w14:paraId="323DEB5A" w14:textId="77777777" w:rsidTr="00AD02C1">
        <w:tc>
          <w:tcPr>
            <w:tcW w:w="750" w:type="pct"/>
            <w:vMerge w:val="restart"/>
            <w:tcBorders>
              <w:top w:val="single" w:sz="8" w:space="0" w:color="000000"/>
              <w:left w:val="single" w:sz="8" w:space="0" w:color="000000"/>
              <w:bottom w:val="single" w:sz="6" w:space="0" w:color="000000"/>
              <w:right w:val="single" w:sz="8" w:space="0" w:color="000000"/>
            </w:tcBorders>
            <w:vAlign w:val="center"/>
            <w:hideMark/>
          </w:tcPr>
          <w:p w14:paraId="0093BF4D" w14:textId="77777777" w:rsidR="00AD02C1" w:rsidRDefault="00AD02C1">
            <w:pPr>
              <w:pStyle w:val="biaogeleft"/>
              <w:wordWrap w:val="0"/>
            </w:pPr>
            <w:r>
              <w:rPr>
                <w:rFonts w:hAnsi="等线" w:hint="eastAsia"/>
                <w:color w:val="000000"/>
                <w:sz w:val="21"/>
                <w:szCs w:val="21"/>
              </w:rPr>
              <w:t>认购费</w:t>
            </w:r>
          </w:p>
        </w:tc>
        <w:tc>
          <w:tcPr>
            <w:tcW w:w="2500" w:type="pct"/>
            <w:tcBorders>
              <w:top w:val="single" w:sz="8" w:space="0" w:color="000000"/>
              <w:left w:val="single" w:sz="8" w:space="0" w:color="000000"/>
              <w:bottom w:val="single" w:sz="6" w:space="0" w:color="000000"/>
              <w:right w:val="single" w:sz="8" w:space="0" w:color="000000"/>
            </w:tcBorders>
            <w:vAlign w:val="center"/>
            <w:hideMark/>
          </w:tcPr>
          <w:p w14:paraId="3F1E980F" w14:textId="77777777" w:rsidR="00AD02C1" w:rsidRDefault="00AD02C1">
            <w:pPr>
              <w:pStyle w:val="biaogeleft"/>
              <w:wordWrap w:val="0"/>
            </w:pPr>
            <w:r>
              <w:rPr>
                <w:rFonts w:hAnsi="等线" w:hint="eastAsia"/>
                <w:color w:val="000000"/>
                <w:sz w:val="21"/>
                <w:szCs w:val="21"/>
              </w:rPr>
              <w:t>M&lt;500万元</w:t>
            </w:r>
          </w:p>
        </w:tc>
        <w:tc>
          <w:tcPr>
            <w:tcW w:w="1000" w:type="pct"/>
            <w:tcBorders>
              <w:top w:val="single" w:sz="8" w:space="0" w:color="000000"/>
              <w:left w:val="single" w:sz="8" w:space="0" w:color="000000"/>
              <w:bottom w:val="single" w:sz="6" w:space="0" w:color="000000"/>
              <w:right w:val="single" w:sz="8" w:space="0" w:color="000000"/>
            </w:tcBorders>
            <w:vAlign w:val="center"/>
            <w:hideMark/>
          </w:tcPr>
          <w:p w14:paraId="13BC3BF0" w14:textId="77777777" w:rsidR="00AD02C1" w:rsidRDefault="00AD02C1">
            <w:pPr>
              <w:pStyle w:val="biaogeleft"/>
              <w:wordWrap w:val="0"/>
            </w:pPr>
            <w:r>
              <w:rPr>
                <w:rFonts w:hAnsi="等线" w:hint="eastAsia"/>
                <w:color w:val="000000"/>
                <w:sz w:val="21"/>
                <w:szCs w:val="21"/>
              </w:rPr>
              <w:t>0.80%</w:t>
            </w:r>
          </w:p>
        </w:tc>
        <w:tc>
          <w:tcPr>
            <w:tcW w:w="750" w:type="pct"/>
            <w:tcBorders>
              <w:top w:val="single" w:sz="8" w:space="0" w:color="000000"/>
              <w:left w:val="single" w:sz="8" w:space="0" w:color="000000"/>
              <w:bottom w:val="single" w:sz="6" w:space="0" w:color="000000"/>
              <w:right w:val="single" w:sz="8" w:space="0" w:color="000000"/>
            </w:tcBorders>
            <w:vAlign w:val="center"/>
          </w:tcPr>
          <w:p w14:paraId="375425E1" w14:textId="77777777" w:rsidR="00AD02C1" w:rsidRDefault="00AD02C1">
            <w:pPr>
              <w:pStyle w:val="biaogeleft"/>
              <w:wordWrap w:val="0"/>
            </w:pPr>
          </w:p>
        </w:tc>
      </w:tr>
      <w:tr w:rsidR="00AD02C1" w14:paraId="136C0307" w14:textId="77777777" w:rsidTr="00AD02C1">
        <w:tc>
          <w:tcPr>
            <w:tcW w:w="0" w:type="auto"/>
            <w:vMerge/>
            <w:tcBorders>
              <w:top w:val="single" w:sz="8" w:space="0" w:color="000000"/>
              <w:left w:val="single" w:sz="8" w:space="0" w:color="000000"/>
              <w:bottom w:val="single" w:sz="6" w:space="0" w:color="000000"/>
              <w:right w:val="single" w:sz="8" w:space="0" w:color="000000"/>
            </w:tcBorders>
            <w:vAlign w:val="center"/>
            <w:hideMark/>
          </w:tcPr>
          <w:p w14:paraId="0C7AA188" w14:textId="77777777" w:rsidR="00AD02C1" w:rsidRDefault="00AD02C1">
            <w:pPr>
              <w:widowControl/>
              <w:jc w:val="left"/>
              <w:rPr>
                <w:rFonts w:ascii="宋体" w:hAnsi="宋体" w:cs="宋体"/>
                <w:kern w:val="0"/>
                <w:sz w:val="24"/>
                <w:szCs w:val="24"/>
              </w:rPr>
            </w:pPr>
          </w:p>
        </w:tc>
        <w:tc>
          <w:tcPr>
            <w:tcW w:w="2500" w:type="pct"/>
            <w:tcBorders>
              <w:top w:val="single" w:sz="8" w:space="0" w:color="000000"/>
              <w:left w:val="single" w:sz="8" w:space="0" w:color="000000"/>
              <w:bottom w:val="single" w:sz="6" w:space="0" w:color="000000"/>
              <w:right w:val="single" w:sz="8" w:space="0" w:color="000000"/>
            </w:tcBorders>
            <w:vAlign w:val="center"/>
            <w:hideMark/>
          </w:tcPr>
          <w:p w14:paraId="57939CF8" w14:textId="77777777" w:rsidR="00AD02C1" w:rsidRDefault="00AD02C1">
            <w:pPr>
              <w:pStyle w:val="biaogeleft"/>
              <w:wordWrap w:val="0"/>
            </w:pPr>
            <w:r>
              <w:rPr>
                <w:rFonts w:hAnsi="等线" w:hint="eastAsia"/>
                <w:color w:val="000000"/>
                <w:sz w:val="21"/>
                <w:szCs w:val="21"/>
              </w:rPr>
              <w:t>500万元≤M</w:t>
            </w:r>
          </w:p>
        </w:tc>
        <w:tc>
          <w:tcPr>
            <w:tcW w:w="1000" w:type="pct"/>
            <w:tcBorders>
              <w:top w:val="single" w:sz="8" w:space="0" w:color="000000"/>
              <w:left w:val="single" w:sz="8" w:space="0" w:color="000000"/>
              <w:bottom w:val="single" w:sz="6" w:space="0" w:color="000000"/>
              <w:right w:val="single" w:sz="8" w:space="0" w:color="000000"/>
            </w:tcBorders>
            <w:vAlign w:val="center"/>
            <w:hideMark/>
          </w:tcPr>
          <w:p w14:paraId="54F9C9A2" w14:textId="77777777" w:rsidR="00AD02C1" w:rsidRDefault="00AD02C1">
            <w:pPr>
              <w:pStyle w:val="biaogeleft"/>
              <w:wordWrap w:val="0"/>
            </w:pPr>
            <w:r>
              <w:rPr>
                <w:rFonts w:hAnsi="等线" w:hint="eastAsia"/>
                <w:color w:val="000000"/>
                <w:sz w:val="21"/>
                <w:szCs w:val="21"/>
              </w:rPr>
              <w:t>1000.00元/笔</w:t>
            </w:r>
          </w:p>
        </w:tc>
        <w:tc>
          <w:tcPr>
            <w:tcW w:w="750" w:type="pct"/>
            <w:tcBorders>
              <w:top w:val="single" w:sz="8" w:space="0" w:color="000000"/>
              <w:left w:val="single" w:sz="8" w:space="0" w:color="000000"/>
              <w:bottom w:val="single" w:sz="6" w:space="0" w:color="000000"/>
              <w:right w:val="single" w:sz="8" w:space="0" w:color="000000"/>
            </w:tcBorders>
            <w:vAlign w:val="center"/>
          </w:tcPr>
          <w:p w14:paraId="0DB92924" w14:textId="77777777" w:rsidR="00AD02C1" w:rsidRDefault="00AD02C1">
            <w:pPr>
              <w:pStyle w:val="biaogeleft"/>
              <w:wordWrap w:val="0"/>
              <w:rPr>
                <w:rFonts w:hAnsi="等线"/>
                <w:color w:val="000000"/>
                <w:sz w:val="21"/>
                <w:szCs w:val="21"/>
              </w:rPr>
            </w:pPr>
          </w:p>
        </w:tc>
      </w:tr>
      <w:tr w:rsidR="00AD02C1" w14:paraId="30370DA3" w14:textId="77777777" w:rsidTr="00AD02C1">
        <w:tc>
          <w:tcPr>
            <w:tcW w:w="750" w:type="pct"/>
            <w:vMerge w:val="restart"/>
            <w:tcBorders>
              <w:top w:val="single" w:sz="8" w:space="0" w:color="000000"/>
              <w:left w:val="single" w:sz="8" w:space="0" w:color="000000"/>
              <w:bottom w:val="single" w:sz="8" w:space="0" w:color="000000"/>
              <w:right w:val="single" w:sz="8" w:space="0" w:color="000000"/>
            </w:tcBorders>
            <w:vAlign w:val="center"/>
            <w:hideMark/>
          </w:tcPr>
          <w:p w14:paraId="31BCD8D1" w14:textId="77777777" w:rsidR="00AD02C1" w:rsidRDefault="00AD02C1">
            <w:pPr>
              <w:pStyle w:val="biaogeleft"/>
              <w:wordWrap w:val="0"/>
            </w:pPr>
            <w:r>
              <w:rPr>
                <w:rFonts w:hAnsi="等线" w:hint="eastAsia"/>
                <w:color w:val="000000"/>
                <w:sz w:val="21"/>
                <w:szCs w:val="21"/>
              </w:rPr>
              <w:t>申购费（前收费）</w:t>
            </w:r>
          </w:p>
        </w:tc>
        <w:tc>
          <w:tcPr>
            <w:tcW w:w="2500" w:type="pct"/>
            <w:tcBorders>
              <w:top w:val="single" w:sz="8" w:space="0" w:color="000000"/>
              <w:left w:val="single" w:sz="8" w:space="0" w:color="000000"/>
              <w:bottom w:val="single" w:sz="6" w:space="0" w:color="000000"/>
              <w:right w:val="single" w:sz="8" w:space="0" w:color="000000"/>
            </w:tcBorders>
            <w:vAlign w:val="center"/>
            <w:hideMark/>
          </w:tcPr>
          <w:p w14:paraId="34D6A963" w14:textId="77777777" w:rsidR="00AD02C1" w:rsidRDefault="00AD02C1">
            <w:pPr>
              <w:pStyle w:val="biaogeleft"/>
              <w:wordWrap w:val="0"/>
            </w:pPr>
            <w:r>
              <w:rPr>
                <w:rFonts w:hAnsi="等线" w:hint="eastAsia"/>
                <w:color w:val="000000"/>
                <w:sz w:val="21"/>
                <w:szCs w:val="21"/>
              </w:rPr>
              <w:t>M&lt;500万元</w:t>
            </w:r>
          </w:p>
        </w:tc>
        <w:tc>
          <w:tcPr>
            <w:tcW w:w="1000" w:type="pct"/>
            <w:tcBorders>
              <w:top w:val="single" w:sz="8" w:space="0" w:color="000000"/>
              <w:left w:val="single" w:sz="8" w:space="0" w:color="000000"/>
              <w:bottom w:val="single" w:sz="6" w:space="0" w:color="000000"/>
              <w:right w:val="single" w:sz="8" w:space="0" w:color="000000"/>
            </w:tcBorders>
            <w:vAlign w:val="center"/>
            <w:hideMark/>
          </w:tcPr>
          <w:p w14:paraId="2A2CFE2D" w14:textId="77777777" w:rsidR="00AD02C1" w:rsidRDefault="00AD02C1">
            <w:pPr>
              <w:pStyle w:val="biaogeleft"/>
              <w:wordWrap w:val="0"/>
            </w:pPr>
            <w:r>
              <w:rPr>
                <w:rFonts w:hAnsi="等线" w:hint="eastAsia"/>
                <w:color w:val="000000"/>
                <w:sz w:val="21"/>
                <w:szCs w:val="21"/>
              </w:rPr>
              <w:t>1.00%</w:t>
            </w:r>
          </w:p>
        </w:tc>
        <w:tc>
          <w:tcPr>
            <w:tcW w:w="750" w:type="pct"/>
            <w:tcBorders>
              <w:top w:val="single" w:sz="8" w:space="0" w:color="000000"/>
              <w:left w:val="single" w:sz="8" w:space="0" w:color="000000"/>
              <w:bottom w:val="single" w:sz="6" w:space="0" w:color="000000"/>
              <w:right w:val="single" w:sz="8" w:space="0" w:color="000000"/>
            </w:tcBorders>
            <w:vAlign w:val="center"/>
          </w:tcPr>
          <w:p w14:paraId="1B1FDB91" w14:textId="77777777" w:rsidR="00AD02C1" w:rsidRDefault="00AD02C1">
            <w:pPr>
              <w:pStyle w:val="biaogeleft"/>
              <w:wordWrap w:val="0"/>
              <w:rPr>
                <w:rFonts w:hAnsi="等线"/>
                <w:color w:val="000000"/>
                <w:sz w:val="21"/>
                <w:szCs w:val="21"/>
              </w:rPr>
            </w:pPr>
          </w:p>
        </w:tc>
      </w:tr>
      <w:tr w:rsidR="00AD02C1" w14:paraId="11907588" w14:textId="77777777" w:rsidTr="00AD02C1">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B12F663" w14:textId="77777777" w:rsidR="00AD02C1" w:rsidRDefault="00AD02C1">
            <w:pPr>
              <w:widowControl/>
              <w:jc w:val="left"/>
              <w:rPr>
                <w:rFonts w:ascii="宋体" w:hAnsi="宋体" w:cs="宋体"/>
                <w:kern w:val="0"/>
                <w:sz w:val="24"/>
                <w:szCs w:val="24"/>
              </w:rPr>
            </w:pPr>
          </w:p>
        </w:tc>
        <w:tc>
          <w:tcPr>
            <w:tcW w:w="2500" w:type="pct"/>
            <w:tcBorders>
              <w:top w:val="single" w:sz="8" w:space="0" w:color="000000"/>
              <w:left w:val="single" w:sz="8" w:space="0" w:color="000000"/>
              <w:bottom w:val="single" w:sz="8" w:space="0" w:color="000000"/>
              <w:right w:val="single" w:sz="8" w:space="0" w:color="000000"/>
            </w:tcBorders>
            <w:vAlign w:val="center"/>
            <w:hideMark/>
          </w:tcPr>
          <w:p w14:paraId="31831B71" w14:textId="77777777" w:rsidR="00AD02C1" w:rsidRDefault="00AD02C1">
            <w:pPr>
              <w:pStyle w:val="biaogeleft"/>
              <w:wordWrap w:val="0"/>
            </w:pPr>
            <w:r>
              <w:rPr>
                <w:rFonts w:hAnsi="等线" w:hint="eastAsia"/>
                <w:color w:val="000000"/>
                <w:sz w:val="21"/>
                <w:szCs w:val="21"/>
              </w:rPr>
              <w:t>500万元≤M</w:t>
            </w:r>
          </w:p>
        </w:tc>
        <w:tc>
          <w:tcPr>
            <w:tcW w:w="1000" w:type="pct"/>
            <w:tcBorders>
              <w:top w:val="single" w:sz="8" w:space="0" w:color="000000"/>
              <w:left w:val="single" w:sz="8" w:space="0" w:color="000000"/>
              <w:bottom w:val="single" w:sz="8" w:space="0" w:color="000000"/>
              <w:right w:val="single" w:sz="8" w:space="0" w:color="000000"/>
            </w:tcBorders>
            <w:vAlign w:val="center"/>
            <w:hideMark/>
          </w:tcPr>
          <w:p w14:paraId="0DC091F9" w14:textId="77777777" w:rsidR="00AD02C1" w:rsidRDefault="00AD02C1">
            <w:pPr>
              <w:pStyle w:val="biaogeleft"/>
              <w:wordWrap w:val="0"/>
            </w:pPr>
            <w:r>
              <w:rPr>
                <w:rFonts w:hAnsi="等线" w:hint="eastAsia"/>
                <w:color w:val="000000"/>
                <w:sz w:val="21"/>
                <w:szCs w:val="21"/>
              </w:rPr>
              <w:t>1000.00元/笔</w:t>
            </w:r>
          </w:p>
        </w:tc>
        <w:tc>
          <w:tcPr>
            <w:tcW w:w="750" w:type="pct"/>
            <w:tcBorders>
              <w:top w:val="single" w:sz="8" w:space="0" w:color="000000"/>
              <w:left w:val="single" w:sz="8" w:space="0" w:color="000000"/>
              <w:bottom w:val="single" w:sz="8" w:space="0" w:color="000000"/>
              <w:right w:val="single" w:sz="8" w:space="0" w:color="000000"/>
            </w:tcBorders>
            <w:vAlign w:val="center"/>
          </w:tcPr>
          <w:p w14:paraId="2FACC1B8" w14:textId="77777777" w:rsidR="00AD02C1" w:rsidRDefault="00AD02C1">
            <w:pPr>
              <w:pStyle w:val="biaogeleft"/>
              <w:wordWrap w:val="0"/>
              <w:rPr>
                <w:rFonts w:hAnsi="等线"/>
                <w:color w:val="000000"/>
                <w:sz w:val="21"/>
                <w:szCs w:val="21"/>
              </w:rPr>
            </w:pPr>
          </w:p>
        </w:tc>
      </w:tr>
      <w:tr w:rsidR="00AD02C1" w14:paraId="35C5A22F" w14:textId="77777777" w:rsidTr="00AD02C1">
        <w:tc>
          <w:tcPr>
            <w:tcW w:w="0" w:type="auto"/>
            <w:vMerge w:val="restart"/>
            <w:tcBorders>
              <w:top w:val="single" w:sz="8" w:space="0" w:color="000000"/>
              <w:left w:val="single" w:sz="8" w:space="0" w:color="000000"/>
              <w:bottom w:val="single" w:sz="6" w:space="0" w:color="000000"/>
              <w:right w:val="single" w:sz="8" w:space="0" w:color="000000"/>
            </w:tcBorders>
            <w:vAlign w:val="center"/>
            <w:hideMark/>
          </w:tcPr>
          <w:p w14:paraId="6DF99308" w14:textId="77777777" w:rsidR="00AD02C1" w:rsidRDefault="00AD02C1">
            <w:r>
              <w:rPr>
                <w:rFonts w:hint="eastAsia"/>
                <w:szCs w:val="21"/>
              </w:rPr>
              <w:t>赎回费</w:t>
            </w:r>
          </w:p>
        </w:tc>
        <w:tc>
          <w:tcPr>
            <w:tcW w:w="2500" w:type="pct"/>
            <w:tcBorders>
              <w:top w:val="single" w:sz="8" w:space="0" w:color="000000"/>
              <w:left w:val="single" w:sz="8" w:space="0" w:color="000000"/>
              <w:bottom w:val="single" w:sz="8" w:space="0" w:color="000000"/>
              <w:right w:val="single" w:sz="8" w:space="0" w:color="000000"/>
            </w:tcBorders>
            <w:hideMark/>
          </w:tcPr>
          <w:p w14:paraId="1A8A95B1" w14:textId="77777777" w:rsidR="00AD02C1" w:rsidRDefault="00AD02C1">
            <w:pPr>
              <w:pStyle w:val="biaogeleft"/>
              <w:wordWrap w:val="0"/>
              <w:rPr>
                <w:rFonts w:hAnsi="等线"/>
                <w:color w:val="000000"/>
                <w:sz w:val="21"/>
                <w:szCs w:val="21"/>
              </w:rPr>
            </w:pPr>
            <w:r>
              <w:rPr>
                <w:rFonts w:hint="eastAsia"/>
                <w:sz w:val="21"/>
                <w:szCs w:val="21"/>
              </w:rPr>
              <w:t>N＜7日</w:t>
            </w:r>
          </w:p>
        </w:tc>
        <w:tc>
          <w:tcPr>
            <w:tcW w:w="1000" w:type="pct"/>
            <w:tcBorders>
              <w:top w:val="single" w:sz="8" w:space="0" w:color="000000"/>
              <w:left w:val="single" w:sz="8" w:space="0" w:color="000000"/>
              <w:bottom w:val="single" w:sz="8" w:space="0" w:color="000000"/>
              <w:right w:val="single" w:sz="8" w:space="0" w:color="000000"/>
            </w:tcBorders>
            <w:hideMark/>
          </w:tcPr>
          <w:p w14:paraId="519D5D79" w14:textId="77777777" w:rsidR="00AD02C1" w:rsidRDefault="00AD02C1">
            <w:pPr>
              <w:pStyle w:val="biaogeleft"/>
              <w:wordWrap w:val="0"/>
              <w:rPr>
                <w:rFonts w:hAnsi="等线"/>
                <w:color w:val="000000"/>
                <w:sz w:val="21"/>
                <w:szCs w:val="21"/>
              </w:rPr>
            </w:pPr>
            <w:r>
              <w:rPr>
                <w:rFonts w:hint="eastAsia"/>
                <w:sz w:val="21"/>
                <w:szCs w:val="21"/>
              </w:rPr>
              <w:t>1.50%</w:t>
            </w:r>
          </w:p>
        </w:tc>
        <w:tc>
          <w:tcPr>
            <w:tcW w:w="750" w:type="pct"/>
            <w:tcBorders>
              <w:top w:val="single" w:sz="8" w:space="0" w:color="000000"/>
              <w:left w:val="single" w:sz="8" w:space="0" w:color="000000"/>
              <w:bottom w:val="single" w:sz="8" w:space="0" w:color="000000"/>
              <w:right w:val="single" w:sz="8" w:space="0" w:color="000000"/>
            </w:tcBorders>
          </w:tcPr>
          <w:p w14:paraId="1D17D150" w14:textId="77777777" w:rsidR="00AD02C1" w:rsidRDefault="00AD02C1">
            <w:pPr>
              <w:pStyle w:val="biaogeleft"/>
              <w:wordWrap w:val="0"/>
              <w:rPr>
                <w:rFonts w:hAnsi="等线"/>
                <w:color w:val="000000"/>
                <w:sz w:val="21"/>
                <w:szCs w:val="21"/>
              </w:rPr>
            </w:pPr>
          </w:p>
        </w:tc>
      </w:tr>
      <w:tr w:rsidR="00AD02C1" w14:paraId="59D6C3DA" w14:textId="77777777" w:rsidTr="00AD02C1">
        <w:tc>
          <w:tcPr>
            <w:tcW w:w="0" w:type="auto"/>
            <w:vMerge/>
            <w:tcBorders>
              <w:top w:val="single" w:sz="8" w:space="0" w:color="000000"/>
              <w:left w:val="single" w:sz="8" w:space="0" w:color="000000"/>
              <w:bottom w:val="single" w:sz="6" w:space="0" w:color="000000"/>
              <w:right w:val="single" w:sz="8" w:space="0" w:color="000000"/>
            </w:tcBorders>
            <w:vAlign w:val="center"/>
            <w:hideMark/>
          </w:tcPr>
          <w:p w14:paraId="79EBC0C9" w14:textId="77777777" w:rsidR="00AD02C1" w:rsidRDefault="00AD02C1">
            <w:pPr>
              <w:widowControl/>
              <w:jc w:val="left"/>
            </w:pPr>
          </w:p>
        </w:tc>
        <w:tc>
          <w:tcPr>
            <w:tcW w:w="2500" w:type="pct"/>
            <w:tcBorders>
              <w:top w:val="single" w:sz="8" w:space="0" w:color="000000"/>
              <w:left w:val="single" w:sz="8" w:space="0" w:color="000000"/>
              <w:bottom w:val="single" w:sz="8" w:space="0" w:color="000000"/>
              <w:right w:val="single" w:sz="8" w:space="0" w:color="000000"/>
            </w:tcBorders>
            <w:vAlign w:val="center"/>
            <w:hideMark/>
          </w:tcPr>
          <w:p w14:paraId="644FC572" w14:textId="77777777" w:rsidR="00AD02C1" w:rsidRDefault="00AD02C1">
            <w:pPr>
              <w:pStyle w:val="biaogeleft"/>
              <w:wordWrap w:val="0"/>
              <w:rPr>
                <w:rFonts w:hAnsi="等线"/>
                <w:color w:val="000000"/>
                <w:sz w:val="21"/>
                <w:szCs w:val="21"/>
              </w:rPr>
            </w:pPr>
            <w:r>
              <w:rPr>
                <w:rFonts w:hint="eastAsia"/>
                <w:sz w:val="21"/>
                <w:szCs w:val="21"/>
              </w:rPr>
              <w:t>7</w:t>
            </w:r>
            <w:r>
              <w:rPr>
                <w:rFonts w:hint="eastAsia"/>
              </w:rPr>
              <w:t>日</w:t>
            </w:r>
            <w:r>
              <w:rPr>
                <w:rFonts w:hint="eastAsia"/>
                <w:sz w:val="21"/>
                <w:szCs w:val="21"/>
              </w:rPr>
              <w:t>≤N＜30</w:t>
            </w:r>
            <w:r>
              <w:rPr>
                <w:rFonts w:hint="eastAsia"/>
              </w:rPr>
              <w:t>日</w:t>
            </w:r>
          </w:p>
        </w:tc>
        <w:tc>
          <w:tcPr>
            <w:tcW w:w="1000" w:type="pct"/>
            <w:tcBorders>
              <w:top w:val="single" w:sz="8" w:space="0" w:color="000000"/>
              <w:left w:val="single" w:sz="8" w:space="0" w:color="000000"/>
              <w:bottom w:val="single" w:sz="8" w:space="0" w:color="000000"/>
              <w:right w:val="single" w:sz="8" w:space="0" w:color="000000"/>
            </w:tcBorders>
            <w:vAlign w:val="center"/>
            <w:hideMark/>
          </w:tcPr>
          <w:p w14:paraId="63568BF1" w14:textId="77777777" w:rsidR="00AD02C1" w:rsidRDefault="00AD02C1">
            <w:pPr>
              <w:pStyle w:val="biaogeleft"/>
              <w:wordWrap w:val="0"/>
              <w:rPr>
                <w:rFonts w:hAnsi="等线"/>
                <w:color w:val="000000"/>
                <w:sz w:val="21"/>
                <w:szCs w:val="21"/>
              </w:rPr>
            </w:pPr>
            <w:r>
              <w:rPr>
                <w:rFonts w:hint="eastAsia"/>
                <w:sz w:val="21"/>
                <w:szCs w:val="21"/>
              </w:rPr>
              <w:t>0.30%</w:t>
            </w:r>
          </w:p>
        </w:tc>
        <w:tc>
          <w:tcPr>
            <w:tcW w:w="750" w:type="pct"/>
            <w:tcBorders>
              <w:top w:val="single" w:sz="8" w:space="0" w:color="000000"/>
              <w:left w:val="single" w:sz="8" w:space="0" w:color="000000"/>
              <w:bottom w:val="single" w:sz="8" w:space="0" w:color="000000"/>
              <w:right w:val="single" w:sz="8" w:space="0" w:color="000000"/>
            </w:tcBorders>
          </w:tcPr>
          <w:p w14:paraId="0A437B1D" w14:textId="77777777" w:rsidR="00AD02C1" w:rsidRDefault="00AD02C1">
            <w:pPr>
              <w:pStyle w:val="biaogeleft"/>
              <w:wordWrap w:val="0"/>
              <w:rPr>
                <w:rFonts w:hAnsi="等线"/>
                <w:color w:val="000000"/>
                <w:sz w:val="21"/>
                <w:szCs w:val="21"/>
              </w:rPr>
            </w:pPr>
          </w:p>
        </w:tc>
      </w:tr>
      <w:tr w:rsidR="00AD02C1" w14:paraId="78AA21BD" w14:textId="77777777" w:rsidTr="00AD02C1">
        <w:tc>
          <w:tcPr>
            <w:tcW w:w="0" w:type="auto"/>
            <w:vMerge/>
            <w:tcBorders>
              <w:top w:val="single" w:sz="8" w:space="0" w:color="000000"/>
              <w:left w:val="single" w:sz="8" w:space="0" w:color="000000"/>
              <w:bottom w:val="single" w:sz="6" w:space="0" w:color="000000"/>
              <w:right w:val="single" w:sz="8" w:space="0" w:color="000000"/>
            </w:tcBorders>
            <w:vAlign w:val="center"/>
            <w:hideMark/>
          </w:tcPr>
          <w:p w14:paraId="1F246481" w14:textId="77777777" w:rsidR="00AD02C1" w:rsidRDefault="00AD02C1">
            <w:pPr>
              <w:widowControl/>
              <w:jc w:val="left"/>
            </w:pPr>
          </w:p>
        </w:tc>
        <w:tc>
          <w:tcPr>
            <w:tcW w:w="2500" w:type="pct"/>
            <w:tcBorders>
              <w:top w:val="single" w:sz="8" w:space="0" w:color="000000"/>
              <w:left w:val="single" w:sz="8" w:space="0" w:color="000000"/>
              <w:bottom w:val="single" w:sz="6" w:space="0" w:color="000000"/>
              <w:right w:val="single" w:sz="8" w:space="0" w:color="000000"/>
            </w:tcBorders>
            <w:hideMark/>
          </w:tcPr>
          <w:p w14:paraId="52306854" w14:textId="77777777" w:rsidR="00AD02C1" w:rsidRDefault="00AD02C1">
            <w:pPr>
              <w:pStyle w:val="biaogeleft"/>
              <w:wordWrap w:val="0"/>
              <w:rPr>
                <w:rFonts w:hAnsi="等线"/>
                <w:color w:val="000000"/>
                <w:sz w:val="21"/>
                <w:szCs w:val="21"/>
              </w:rPr>
            </w:pPr>
            <w:r>
              <w:rPr>
                <w:rFonts w:hint="eastAsia"/>
                <w:sz w:val="21"/>
                <w:szCs w:val="21"/>
              </w:rPr>
              <w:t>N≥30日</w:t>
            </w:r>
          </w:p>
        </w:tc>
        <w:tc>
          <w:tcPr>
            <w:tcW w:w="1000" w:type="pct"/>
            <w:tcBorders>
              <w:top w:val="single" w:sz="8" w:space="0" w:color="000000"/>
              <w:left w:val="single" w:sz="8" w:space="0" w:color="000000"/>
              <w:bottom w:val="single" w:sz="6" w:space="0" w:color="000000"/>
              <w:right w:val="single" w:sz="8" w:space="0" w:color="000000"/>
            </w:tcBorders>
            <w:hideMark/>
          </w:tcPr>
          <w:p w14:paraId="261F3296" w14:textId="77777777" w:rsidR="00AD02C1" w:rsidRDefault="00AD02C1">
            <w:pPr>
              <w:pStyle w:val="biaogeleft"/>
              <w:wordWrap w:val="0"/>
              <w:rPr>
                <w:rFonts w:hAnsi="等线"/>
                <w:color w:val="000000"/>
                <w:sz w:val="21"/>
                <w:szCs w:val="21"/>
              </w:rPr>
            </w:pPr>
            <w:r>
              <w:rPr>
                <w:rFonts w:hint="eastAsia"/>
                <w:sz w:val="21"/>
                <w:szCs w:val="21"/>
              </w:rPr>
              <w:t>0</w:t>
            </w:r>
          </w:p>
        </w:tc>
        <w:tc>
          <w:tcPr>
            <w:tcW w:w="750" w:type="pct"/>
            <w:tcBorders>
              <w:top w:val="single" w:sz="8" w:space="0" w:color="000000"/>
              <w:left w:val="single" w:sz="8" w:space="0" w:color="000000"/>
              <w:bottom w:val="single" w:sz="6" w:space="0" w:color="000000"/>
              <w:right w:val="single" w:sz="8" w:space="0" w:color="000000"/>
            </w:tcBorders>
          </w:tcPr>
          <w:p w14:paraId="15E476B1" w14:textId="77777777" w:rsidR="00AD02C1" w:rsidRDefault="00AD02C1">
            <w:pPr>
              <w:pStyle w:val="biaogeleft"/>
              <w:wordWrap w:val="0"/>
              <w:rPr>
                <w:rFonts w:hAnsi="等线"/>
                <w:color w:val="000000"/>
                <w:sz w:val="21"/>
                <w:szCs w:val="21"/>
              </w:rPr>
            </w:pPr>
          </w:p>
        </w:tc>
      </w:tr>
    </w:tbl>
    <w:p w14:paraId="31DD4DC4" w14:textId="77777777" w:rsidR="00AD02C1" w:rsidRDefault="00AD02C1" w:rsidP="00AD02C1">
      <w:pPr>
        <w:pStyle w:val="biaogeleft"/>
        <w:rPr>
          <w:rFonts w:hAnsi="等线"/>
          <w:color w:val="000000"/>
          <w:sz w:val="21"/>
          <w:szCs w:val="21"/>
        </w:rPr>
      </w:pPr>
      <w:r>
        <w:rPr>
          <w:rFonts w:hAnsi="等线" w:hint="eastAsia"/>
          <w:color w:val="000000"/>
          <w:sz w:val="21"/>
          <w:szCs w:val="21"/>
        </w:rPr>
        <w:t>注：上表适用于投资者（通过基金管理人的直销中心认购/申购本基金A类基金份额的养老金客户除外）认购/申购A类基金份额的情形，通过基金管理人的直销中心认购/申购本基金A类基金份额的养老金客户费率适用情况详见本基金招募说明书及相关公告。</w:t>
      </w:r>
    </w:p>
    <w:p w14:paraId="11FD26A8" w14:textId="77777777" w:rsidR="00AD02C1" w:rsidRDefault="00AD02C1" w:rsidP="00AD02C1">
      <w:pPr>
        <w:pStyle w:val="biaogeleft"/>
        <w:rPr>
          <w:rFonts w:hAnsi="等线"/>
          <w:color w:val="000000"/>
          <w:sz w:val="21"/>
          <w:szCs w:val="21"/>
        </w:rPr>
      </w:pPr>
    </w:p>
    <w:p w14:paraId="37C0B554" w14:textId="77777777" w:rsidR="00AD02C1" w:rsidRDefault="00AD02C1" w:rsidP="00AD02C1">
      <w:pPr>
        <w:pStyle w:val="biaogeleft"/>
        <w:wordWrap w:val="0"/>
        <w:rPr>
          <w:sz w:val="21"/>
          <w:szCs w:val="21"/>
        </w:rPr>
      </w:pPr>
      <w:r>
        <w:rPr>
          <w:rFonts w:hint="eastAsia"/>
          <w:sz w:val="21"/>
          <w:szCs w:val="21"/>
        </w:rPr>
        <w:t>中欧上证科创板100指数发起C</w:t>
      </w:r>
    </w:p>
    <w:tbl>
      <w:tblPr>
        <w:tblStyle w:val="a3"/>
        <w:tblW w:w="9224" w:type="dxa"/>
        <w:tblInd w:w="1" w:type="dxa"/>
        <w:tblLayout w:type="fixed"/>
        <w:tblLook w:val="04A0" w:firstRow="1" w:lastRow="0" w:firstColumn="1" w:lastColumn="0" w:noHBand="0" w:noVBand="1"/>
      </w:tblPr>
      <w:tblGrid>
        <w:gridCol w:w="1554"/>
        <w:gridCol w:w="4536"/>
        <w:gridCol w:w="1701"/>
        <w:gridCol w:w="1433"/>
      </w:tblGrid>
      <w:tr w:rsidR="00AD02C1" w14:paraId="559AC3D7" w14:textId="77777777" w:rsidTr="00E06BD6">
        <w:trPr>
          <w:trHeight w:val="321"/>
        </w:trPr>
        <w:tc>
          <w:tcPr>
            <w:tcW w:w="1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91720" w14:textId="77777777" w:rsidR="00AD02C1" w:rsidRDefault="00AD02C1" w:rsidP="00E06BD6">
            <w:pPr>
              <w:pStyle w:val="biaogeleft"/>
              <w:wordWrap w:val="0"/>
              <w:ind w:left="0"/>
              <w:rPr>
                <w:sz w:val="21"/>
                <w:szCs w:val="21"/>
              </w:rPr>
            </w:pPr>
            <w:r>
              <w:rPr>
                <w:rFonts w:hint="eastAsia"/>
                <w:sz w:val="21"/>
                <w:szCs w:val="21"/>
              </w:rPr>
              <w:t>费用类型</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2EFE" w14:textId="77777777" w:rsidR="00AD02C1" w:rsidRDefault="00AD02C1">
            <w:pPr>
              <w:pStyle w:val="biaogeleft"/>
              <w:wordWrap w:val="0"/>
              <w:ind w:left="840"/>
              <w:rPr>
                <w:sz w:val="21"/>
                <w:szCs w:val="21"/>
              </w:rPr>
            </w:pPr>
            <w:r>
              <w:rPr>
                <w:rFonts w:hint="eastAsia"/>
                <w:sz w:val="21"/>
                <w:szCs w:val="21"/>
              </w:rPr>
              <w:t>持有期限（N）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8CB698" w14:textId="77777777" w:rsidR="00AD02C1" w:rsidRDefault="00AD02C1" w:rsidP="00E06BD6">
            <w:pPr>
              <w:pStyle w:val="biaogeleft"/>
              <w:wordWrap w:val="0"/>
              <w:ind w:leftChars="13" w:left="27" w:firstLineChars="129" w:firstLine="271"/>
              <w:rPr>
                <w:sz w:val="21"/>
                <w:szCs w:val="21"/>
              </w:rPr>
            </w:pPr>
            <w:r>
              <w:rPr>
                <w:rFonts w:hint="eastAsia"/>
                <w:sz w:val="21"/>
                <w:szCs w:val="21"/>
              </w:rPr>
              <w:t>费率</w:t>
            </w:r>
          </w:p>
        </w:tc>
        <w:tc>
          <w:tcPr>
            <w:tcW w:w="1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45A369" w14:textId="77777777" w:rsidR="00AD02C1" w:rsidRDefault="00AD02C1" w:rsidP="00E06BD6">
            <w:pPr>
              <w:pStyle w:val="biaogeleft"/>
              <w:wordWrap w:val="0"/>
              <w:ind w:leftChars="83" w:left="174" w:firstLineChars="61" w:firstLine="128"/>
              <w:rPr>
                <w:sz w:val="21"/>
                <w:szCs w:val="21"/>
              </w:rPr>
            </w:pPr>
            <w:r>
              <w:rPr>
                <w:rFonts w:hAnsi="等线" w:hint="eastAsia"/>
                <w:color w:val="000000"/>
                <w:sz w:val="21"/>
                <w:szCs w:val="21"/>
              </w:rPr>
              <w:t>备注</w:t>
            </w:r>
          </w:p>
        </w:tc>
      </w:tr>
      <w:tr w:rsidR="00AD02C1" w14:paraId="1AC0E7B8" w14:textId="77777777" w:rsidTr="00E06BD6">
        <w:trPr>
          <w:trHeight w:val="321"/>
        </w:trPr>
        <w:tc>
          <w:tcPr>
            <w:tcW w:w="155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5800FF" w14:textId="77777777" w:rsidR="00AD02C1" w:rsidRDefault="00AD02C1" w:rsidP="00E06BD6">
            <w:pPr>
              <w:pStyle w:val="biaogeleft"/>
              <w:wordWrap w:val="0"/>
              <w:ind w:left="0" w:firstLineChars="10" w:firstLine="21"/>
              <w:rPr>
                <w:sz w:val="21"/>
                <w:szCs w:val="21"/>
              </w:rPr>
            </w:pPr>
            <w:r>
              <w:rPr>
                <w:rFonts w:hint="eastAsia"/>
                <w:sz w:val="21"/>
                <w:szCs w:val="21"/>
              </w:rPr>
              <w:t>赎回费</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2B1413" w14:textId="77777777" w:rsidR="00AD02C1" w:rsidRDefault="00AD02C1">
            <w:pPr>
              <w:pStyle w:val="biaogeleft"/>
              <w:wordWrap w:val="0"/>
              <w:ind w:left="840"/>
              <w:rPr>
                <w:sz w:val="21"/>
                <w:szCs w:val="21"/>
              </w:rPr>
            </w:pPr>
            <w:r>
              <w:rPr>
                <w:rFonts w:hint="eastAsia"/>
                <w:sz w:val="21"/>
                <w:szCs w:val="21"/>
              </w:rPr>
              <w:t>N＜7日</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ADE3C9" w14:textId="77777777" w:rsidR="00AD02C1" w:rsidRDefault="00AD02C1" w:rsidP="00E06BD6">
            <w:pPr>
              <w:pStyle w:val="biaogeleft"/>
              <w:wordWrap w:val="0"/>
              <w:ind w:leftChars="13" w:left="27" w:firstLineChars="129" w:firstLine="271"/>
              <w:rPr>
                <w:sz w:val="21"/>
                <w:szCs w:val="21"/>
              </w:rPr>
            </w:pPr>
            <w:r>
              <w:rPr>
                <w:rFonts w:hint="eastAsia"/>
                <w:sz w:val="21"/>
                <w:szCs w:val="21"/>
              </w:rPr>
              <w:t>1.50%</w:t>
            </w:r>
          </w:p>
        </w:tc>
        <w:tc>
          <w:tcPr>
            <w:tcW w:w="14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8696A" w14:textId="77777777" w:rsidR="00AD02C1" w:rsidRDefault="00AD02C1" w:rsidP="00E06BD6">
            <w:pPr>
              <w:pStyle w:val="biaogeleft"/>
              <w:wordWrap w:val="0"/>
              <w:ind w:leftChars="83" w:left="174" w:firstLineChars="61" w:firstLine="128"/>
              <w:rPr>
                <w:sz w:val="21"/>
                <w:szCs w:val="21"/>
              </w:rPr>
            </w:pPr>
          </w:p>
        </w:tc>
      </w:tr>
      <w:tr w:rsidR="00AD02C1" w14:paraId="7168FB3A" w14:textId="77777777" w:rsidTr="00E06BD6">
        <w:trPr>
          <w:trHeight w:val="337"/>
        </w:trPr>
        <w:tc>
          <w:tcPr>
            <w:tcW w:w="155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863A02" w14:textId="77777777" w:rsidR="00AD02C1" w:rsidRDefault="00AD02C1">
            <w:pPr>
              <w:widowControl/>
              <w:jc w:val="left"/>
              <w:rPr>
                <w:rFonts w:ascii="宋体" w:hAnsi="宋体" w:cs="宋体"/>
                <w:sz w:val="21"/>
                <w:szCs w:val="21"/>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6C5976" w14:textId="77777777" w:rsidR="00AD02C1" w:rsidRDefault="00AD02C1">
            <w:pPr>
              <w:pStyle w:val="biaogeleft"/>
              <w:wordWrap w:val="0"/>
              <w:ind w:left="840"/>
              <w:rPr>
                <w:sz w:val="21"/>
                <w:szCs w:val="21"/>
              </w:rPr>
            </w:pPr>
            <w:r>
              <w:rPr>
                <w:rFonts w:hint="eastAsia"/>
                <w:sz w:val="21"/>
                <w:szCs w:val="21"/>
              </w:rPr>
              <w:t>N≥7日</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B0CBBA" w14:textId="77777777" w:rsidR="00AD02C1" w:rsidRDefault="00AD02C1" w:rsidP="00E06BD6">
            <w:pPr>
              <w:pStyle w:val="biaogeleft"/>
              <w:wordWrap w:val="0"/>
              <w:ind w:leftChars="13" w:left="27" w:firstLineChars="129" w:firstLine="271"/>
              <w:rPr>
                <w:sz w:val="21"/>
                <w:szCs w:val="21"/>
              </w:rPr>
            </w:pPr>
            <w:r>
              <w:rPr>
                <w:rFonts w:hint="eastAsia"/>
                <w:sz w:val="21"/>
                <w:szCs w:val="21"/>
              </w:rPr>
              <w:t>0</w:t>
            </w:r>
          </w:p>
        </w:tc>
        <w:tc>
          <w:tcPr>
            <w:tcW w:w="14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45976" w14:textId="77777777" w:rsidR="00AD02C1" w:rsidRDefault="00AD02C1" w:rsidP="00E06BD6">
            <w:pPr>
              <w:pStyle w:val="biaogeleft"/>
              <w:wordWrap w:val="0"/>
              <w:ind w:leftChars="83" w:left="174" w:firstLineChars="61" w:firstLine="128"/>
              <w:rPr>
                <w:sz w:val="21"/>
                <w:szCs w:val="21"/>
              </w:rPr>
            </w:pPr>
          </w:p>
        </w:tc>
      </w:tr>
    </w:tbl>
    <w:p w14:paraId="784619DA" w14:textId="11553E93" w:rsidR="00AD02C1" w:rsidRDefault="00AD02C1" w:rsidP="00D363E8">
      <w:pPr>
        <w:pStyle w:val="biaogeleft"/>
        <w:ind w:left="0"/>
        <w:rPr>
          <w:rFonts w:hAnsi="等线"/>
          <w:color w:val="000000"/>
          <w:sz w:val="21"/>
          <w:szCs w:val="21"/>
        </w:rPr>
      </w:pPr>
      <w:bookmarkStart w:id="0" w:name="_GoBack"/>
      <w:bookmarkEnd w:id="0"/>
      <w:r>
        <w:rPr>
          <w:rFonts w:hAnsi="等线" w:hint="eastAsia"/>
          <w:color w:val="000000"/>
          <w:sz w:val="21"/>
          <w:szCs w:val="21"/>
        </w:rPr>
        <w:t>认购费：本基金C类基金份额不收取认购费。</w:t>
      </w:r>
    </w:p>
    <w:p w14:paraId="345AB1CA" w14:textId="77777777" w:rsidR="00AD02C1" w:rsidRDefault="00AD02C1" w:rsidP="00AD02C1">
      <w:pPr>
        <w:pStyle w:val="biaogeleft"/>
        <w:rPr>
          <w:rFonts w:hAnsi="等线"/>
          <w:color w:val="000000"/>
          <w:sz w:val="21"/>
          <w:szCs w:val="21"/>
        </w:rPr>
      </w:pPr>
      <w:r>
        <w:rPr>
          <w:rFonts w:hAnsi="等线" w:hint="eastAsia"/>
          <w:color w:val="000000"/>
          <w:sz w:val="21"/>
          <w:szCs w:val="21"/>
        </w:rPr>
        <w:t>申购费：本基金C类基金份额不收取申购费。</w:t>
      </w:r>
    </w:p>
    <w:p w14:paraId="166353F3" w14:textId="77777777" w:rsidR="00AD02C1" w:rsidRDefault="00AD02C1" w:rsidP="00AD02C1">
      <w:pPr>
        <w:spacing w:line="288" w:lineRule="auto"/>
        <w:rPr>
          <w:rFonts w:hAnsi="等线"/>
          <w:color w:val="000000"/>
          <w:szCs w:val="21"/>
        </w:rPr>
      </w:pPr>
    </w:p>
    <w:p w14:paraId="7B984247" w14:textId="77777777" w:rsidR="00AD02C1" w:rsidRPr="00142861" w:rsidRDefault="00AD02C1" w:rsidP="00AD02C1">
      <w:pPr>
        <w:pStyle w:val="zhangjiep"/>
        <w:rPr>
          <w:rFonts w:hAnsi="等线"/>
          <w:color w:val="000000"/>
          <w:sz w:val="21"/>
          <w:szCs w:val="21"/>
        </w:rPr>
      </w:pPr>
      <w:r w:rsidRPr="00142861">
        <w:rPr>
          <w:rFonts w:hAnsi="等线" w:hint="eastAsia"/>
          <w:b/>
          <w:color w:val="000000"/>
          <w:sz w:val="21"/>
          <w:szCs w:val="21"/>
        </w:rPr>
        <w:t xml:space="preserve">（二）基金运作相关费用 </w:t>
      </w:r>
    </w:p>
    <w:p w14:paraId="1B33960E" w14:textId="77777777" w:rsidR="00AD02C1" w:rsidRDefault="00AD02C1" w:rsidP="00AD02C1">
      <w:pPr>
        <w:spacing w:line="312" w:lineRule="exact"/>
      </w:pPr>
      <w:r>
        <w:rPr>
          <w:rFonts w:hint="eastAsia"/>
          <w:szCs w:val="21"/>
        </w:rPr>
        <w:t>以下费用将从基金资产中扣除：</w:t>
      </w:r>
      <w:r>
        <w:rPr>
          <w:rFonts w:hint="eastAsia"/>
        </w:rPr>
        <w:t xml:space="preserve"> </w:t>
      </w:r>
    </w:p>
    <w:tbl>
      <w:tblPr>
        <w:tblW w:w="55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1"/>
        <w:gridCol w:w="3260"/>
        <w:gridCol w:w="1560"/>
        <w:gridCol w:w="3118"/>
      </w:tblGrid>
      <w:tr w:rsidR="00AD02C1" w14:paraId="061D07FA" w14:textId="77777777" w:rsidTr="00A958E0">
        <w:trPr>
          <w:trHeight w:val="387"/>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105F18" w14:textId="77777777" w:rsidR="00AD02C1" w:rsidRDefault="00AD02C1" w:rsidP="001117DC">
            <w:pPr>
              <w:rPr>
                <w:b/>
                <w:szCs w:val="24"/>
                <w:lang w:eastAsia="zh-Hans"/>
              </w:rPr>
            </w:pPr>
            <w:r>
              <w:rPr>
                <w:rFonts w:hint="eastAsia"/>
                <w:b/>
              </w:rPr>
              <w:t>费用类别</w:t>
            </w:r>
            <w:r>
              <w:rPr>
                <w:rFonts w:hint="eastAsia"/>
                <w:b/>
                <w:szCs w:val="24"/>
                <w:lang w:eastAsia="zh-Hans"/>
              </w:rPr>
              <w:t xml:space="preserve">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001CE48E" w14:textId="77777777" w:rsidR="00AD02C1" w:rsidRDefault="00AD02C1" w:rsidP="001117DC">
            <w:pPr>
              <w:jc w:val="center"/>
              <w:rPr>
                <w:b/>
                <w:szCs w:val="24"/>
                <w:lang w:eastAsia="zh-Hans"/>
              </w:rPr>
            </w:pPr>
            <w:r>
              <w:rPr>
                <w:rFonts w:hint="eastAsia"/>
                <w:b/>
                <w:szCs w:val="24"/>
              </w:rPr>
              <w:t>收费方式</w:t>
            </w:r>
            <w:r>
              <w:rPr>
                <w:rFonts w:hint="eastAsia"/>
                <w:b/>
                <w:szCs w:val="24"/>
              </w:rPr>
              <w:t>/</w:t>
            </w:r>
            <w:r>
              <w:rPr>
                <w:rFonts w:hint="eastAsia"/>
                <w:b/>
                <w:szCs w:val="24"/>
              </w:rPr>
              <w:t>年费率或金额</w:t>
            </w:r>
            <w:r>
              <w:rPr>
                <w:rFonts w:hint="eastAsia"/>
                <w:b/>
                <w:szCs w:val="24"/>
                <w:lang w:eastAsia="zh-Hans"/>
              </w:rPr>
              <w:t xml:space="preserve">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78BDFA" w14:textId="77777777" w:rsidR="00AD02C1" w:rsidRDefault="00AD02C1" w:rsidP="001117DC">
            <w:pPr>
              <w:jc w:val="center"/>
              <w:rPr>
                <w:b/>
                <w:szCs w:val="24"/>
                <w:lang w:eastAsia="zh-Hans"/>
              </w:rPr>
            </w:pPr>
            <w:r>
              <w:rPr>
                <w:rFonts w:hint="eastAsia"/>
                <w:b/>
                <w:szCs w:val="24"/>
              </w:rPr>
              <w:t>收取方</w:t>
            </w:r>
            <w:r>
              <w:rPr>
                <w:rFonts w:hint="eastAsia"/>
                <w:b/>
                <w:szCs w:val="24"/>
                <w:lang w:eastAsia="zh-Hans"/>
              </w:rPr>
              <w:t xml:space="preserve"> </w:t>
            </w:r>
          </w:p>
        </w:tc>
      </w:tr>
      <w:tr w:rsidR="00AD02C1" w14:paraId="134BF715" w14:textId="77777777" w:rsidTr="00A958E0">
        <w:trPr>
          <w:trHeight w:val="386"/>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C7AFC1" w14:textId="77777777" w:rsidR="00AD02C1" w:rsidRDefault="00AD02C1" w:rsidP="001117DC">
            <w:pPr>
              <w:rPr>
                <w:szCs w:val="24"/>
                <w:lang w:eastAsia="zh-Hans"/>
              </w:rPr>
            </w:pPr>
            <w:r>
              <w:rPr>
                <w:rFonts w:hint="eastAsia"/>
                <w:b/>
              </w:rPr>
              <w:t>管理费</w:t>
            </w:r>
            <w:r>
              <w:rPr>
                <w:rFonts w:hint="eastAsia"/>
                <w:szCs w:val="24"/>
                <w:lang w:eastAsia="zh-Hans"/>
              </w:rPr>
              <w:t xml:space="preserve">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61AE3FD9" w14:textId="77777777" w:rsidR="00AD02C1" w:rsidRDefault="00AD02C1" w:rsidP="001117DC">
            <w:pPr>
              <w:jc w:val="center"/>
              <w:rPr>
                <w:szCs w:val="24"/>
                <w:lang w:eastAsia="zh-Hans"/>
              </w:rPr>
            </w:pPr>
            <w:r>
              <w:rPr>
                <w:szCs w:val="24"/>
              </w:rPr>
              <w:t>0</w:t>
            </w:r>
            <w:r>
              <w:rPr>
                <w:rFonts w:hint="eastAsia"/>
                <w:szCs w:val="24"/>
              </w:rPr>
              <w:t>.</w:t>
            </w:r>
            <w:r>
              <w:rPr>
                <w:szCs w:val="24"/>
              </w:rPr>
              <w:t>5</w:t>
            </w:r>
            <w:r>
              <w:rPr>
                <w:rFonts w:hint="eastAsia"/>
                <w:szCs w:val="24"/>
              </w:rPr>
              <w:t>0</w:t>
            </w:r>
            <w:r>
              <w:rPr>
                <w:rFonts w:hint="eastAsia"/>
                <w:szCs w:val="21"/>
              </w:rPr>
              <w:t>%</w:t>
            </w:r>
            <w:r>
              <w:rPr>
                <w:rFonts w:hint="eastAsia"/>
                <w:szCs w:val="24"/>
                <w:lang w:eastAsia="zh-Hans"/>
              </w:rPr>
              <w:t xml:space="preserve">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D465A2" w14:textId="77777777" w:rsidR="00AD02C1" w:rsidRDefault="00AD02C1" w:rsidP="001117DC">
            <w:pPr>
              <w:jc w:val="center"/>
            </w:pPr>
            <w:r>
              <w:rPr>
                <w:rFonts w:hint="eastAsia"/>
                <w:szCs w:val="24"/>
              </w:rPr>
              <w:t>基金管理人和销售机构</w:t>
            </w:r>
          </w:p>
        </w:tc>
      </w:tr>
      <w:tr w:rsidR="00AD02C1" w14:paraId="7B5524BC" w14:textId="77777777" w:rsidTr="00A958E0">
        <w:trPr>
          <w:trHeight w:val="386"/>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52A496" w14:textId="77777777" w:rsidR="00AD02C1" w:rsidRDefault="00AD02C1" w:rsidP="001117DC">
            <w:pPr>
              <w:rPr>
                <w:szCs w:val="24"/>
                <w:lang w:eastAsia="zh-Hans"/>
              </w:rPr>
            </w:pPr>
            <w:r>
              <w:rPr>
                <w:rFonts w:hint="eastAsia"/>
                <w:b/>
              </w:rPr>
              <w:t>托管费</w:t>
            </w:r>
            <w:r>
              <w:rPr>
                <w:rFonts w:hint="eastAsia"/>
                <w:szCs w:val="24"/>
                <w:lang w:eastAsia="zh-Hans"/>
              </w:rPr>
              <w:t xml:space="preserve">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51810507" w14:textId="77777777" w:rsidR="00AD02C1" w:rsidRDefault="00AD02C1" w:rsidP="001117DC">
            <w:pPr>
              <w:jc w:val="center"/>
              <w:rPr>
                <w:szCs w:val="24"/>
                <w:lang w:eastAsia="zh-Hans"/>
              </w:rPr>
            </w:pPr>
            <w:r>
              <w:rPr>
                <w:rFonts w:hint="eastAsia"/>
                <w:szCs w:val="24"/>
              </w:rPr>
              <w:t>0.</w:t>
            </w:r>
            <w:r>
              <w:rPr>
                <w:szCs w:val="24"/>
              </w:rPr>
              <w:t>10</w:t>
            </w:r>
            <w:r>
              <w:rPr>
                <w:rFonts w:hint="eastAsia"/>
                <w:szCs w:val="21"/>
              </w:rPr>
              <w:t>%</w:t>
            </w:r>
            <w:r>
              <w:rPr>
                <w:rFonts w:hint="eastAsia"/>
                <w:szCs w:val="24"/>
                <w:lang w:eastAsia="zh-Hans"/>
              </w:rPr>
              <w:t xml:space="preserve">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DAAC504" w14:textId="77777777" w:rsidR="00AD02C1" w:rsidRDefault="00AD02C1" w:rsidP="001117DC">
            <w:pPr>
              <w:jc w:val="center"/>
              <w:rPr>
                <w:szCs w:val="24"/>
              </w:rPr>
            </w:pPr>
            <w:r>
              <w:rPr>
                <w:rFonts w:hint="eastAsia"/>
                <w:szCs w:val="24"/>
              </w:rPr>
              <w:t>基金托管人</w:t>
            </w:r>
            <w:r>
              <w:rPr>
                <w:rFonts w:hint="eastAsia"/>
                <w:szCs w:val="24"/>
              </w:rPr>
              <w:t xml:space="preserve"> </w:t>
            </w:r>
          </w:p>
        </w:tc>
      </w:tr>
      <w:tr w:rsidR="00AD02C1" w14:paraId="68757D21" w14:textId="77777777" w:rsidTr="00A958E0">
        <w:trPr>
          <w:trHeight w:val="386"/>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C6F2AEC" w14:textId="77777777" w:rsidR="00AD02C1" w:rsidRDefault="00AD02C1" w:rsidP="001117DC">
            <w:pPr>
              <w:rPr>
                <w:szCs w:val="24"/>
                <w:lang w:eastAsia="zh-Hans"/>
              </w:rPr>
            </w:pPr>
            <w:r>
              <w:rPr>
                <w:rFonts w:hint="eastAsia"/>
                <w:b/>
              </w:rPr>
              <w:t>销售服务费</w:t>
            </w:r>
            <w:r>
              <w:rPr>
                <w:rFonts w:hint="eastAsia"/>
                <w:szCs w:val="24"/>
                <w:lang w:eastAsia="zh-Hans"/>
              </w:rPr>
              <w:t xml:space="preserve">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FCE657F" w14:textId="1AFC3B3F" w:rsidR="00AD02C1" w:rsidRDefault="00490A04" w:rsidP="001117DC">
            <w:pPr>
              <w:jc w:val="center"/>
            </w:pPr>
            <w:r>
              <w:rPr>
                <w:rFonts w:hAnsi="等线" w:hint="eastAsia"/>
                <w:color w:val="000000"/>
                <w:szCs w:val="21"/>
              </w:rPr>
              <w:t>中欧上证科创板</w:t>
            </w:r>
            <w:r>
              <w:rPr>
                <w:rFonts w:hAnsi="等线" w:hint="eastAsia"/>
                <w:color w:val="000000"/>
                <w:szCs w:val="21"/>
              </w:rPr>
              <w:t>100</w:t>
            </w:r>
            <w:r>
              <w:rPr>
                <w:rFonts w:hAnsi="等线" w:hint="eastAsia"/>
                <w:color w:val="000000"/>
                <w:szCs w:val="21"/>
              </w:rPr>
              <w:t>指数发起</w:t>
            </w:r>
            <w:r>
              <w:rPr>
                <w:rFonts w:hAnsi="等线" w:hint="eastAsia"/>
                <w:color w:val="000000"/>
                <w:szCs w:val="21"/>
              </w:rPr>
              <w:t>C</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C1870BC" w14:textId="77777777" w:rsidR="00AD02C1" w:rsidRDefault="00AD02C1" w:rsidP="001117DC">
            <w:pPr>
              <w:jc w:val="center"/>
              <w:rPr>
                <w:szCs w:val="24"/>
                <w:lang w:eastAsia="zh-Hans"/>
              </w:rPr>
            </w:pPr>
            <w:r>
              <w:rPr>
                <w:rFonts w:hint="eastAsia"/>
                <w:szCs w:val="24"/>
              </w:rPr>
              <w:t>0.</w:t>
            </w:r>
            <w:r>
              <w:rPr>
                <w:szCs w:val="24"/>
              </w:rPr>
              <w:t>2</w:t>
            </w:r>
            <w:r>
              <w:rPr>
                <w:rFonts w:hint="eastAsia"/>
                <w:szCs w:val="24"/>
              </w:rPr>
              <w:t>5</w:t>
            </w:r>
            <w:r>
              <w:rPr>
                <w:rFonts w:hint="eastAsia"/>
                <w:szCs w:val="21"/>
              </w:rPr>
              <w:t>%</w:t>
            </w:r>
            <w:r>
              <w:rPr>
                <w:rFonts w:hint="eastAsia"/>
                <w:szCs w:val="24"/>
                <w:lang w:eastAsia="zh-Hans"/>
              </w:rPr>
              <w:t xml:space="preserve">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0A9AD98" w14:textId="77777777" w:rsidR="00AD02C1" w:rsidRDefault="00AD02C1" w:rsidP="001117DC">
            <w:pPr>
              <w:jc w:val="center"/>
            </w:pPr>
            <w:r>
              <w:rPr>
                <w:rFonts w:hint="eastAsia"/>
                <w:szCs w:val="24"/>
              </w:rPr>
              <w:t>销售机构</w:t>
            </w:r>
          </w:p>
        </w:tc>
      </w:tr>
      <w:tr w:rsidR="00AD02C1" w14:paraId="6D813BD0" w14:textId="77777777" w:rsidTr="00A958E0">
        <w:trPr>
          <w:trHeight w:val="386"/>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4E3DD1" w14:textId="77777777" w:rsidR="00AD02C1" w:rsidRDefault="00AD02C1" w:rsidP="001117DC">
            <w:pPr>
              <w:rPr>
                <w:szCs w:val="24"/>
                <w:lang w:eastAsia="zh-Hans"/>
              </w:rPr>
            </w:pPr>
            <w:r>
              <w:rPr>
                <w:rFonts w:hint="eastAsia"/>
                <w:b/>
                <w:szCs w:val="24"/>
                <w:lang w:eastAsia="zh-Hans"/>
              </w:rPr>
              <w:t>其他费用</w:t>
            </w:r>
            <w:r>
              <w:rPr>
                <w:rFonts w:hint="eastAsia"/>
                <w:szCs w:val="24"/>
                <w:lang w:eastAsia="zh-Hans"/>
              </w:rPr>
              <w:t xml:space="preserve"> </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14:paraId="1AA66B2C" w14:textId="77777777" w:rsidR="00AD02C1" w:rsidRDefault="00AD02C1" w:rsidP="001117DC">
            <w:pPr>
              <w:jc w:val="center"/>
            </w:pPr>
            <w:r>
              <w:rPr>
                <w:rFonts w:hint="eastAsia"/>
                <w:szCs w:val="24"/>
              </w:rPr>
              <w:t>详见招募说明书的基金费用与税收章节。</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D6A2E5A" w14:textId="77777777" w:rsidR="00AD02C1" w:rsidRDefault="00AD02C1" w:rsidP="001117DC">
            <w:pPr>
              <w:jc w:val="center"/>
            </w:pPr>
            <w:r>
              <w:rPr>
                <w:rFonts w:hint="eastAsia"/>
                <w:szCs w:val="24"/>
              </w:rPr>
              <w:t>相关服务机构</w:t>
            </w:r>
          </w:p>
        </w:tc>
      </w:tr>
    </w:tbl>
    <w:p w14:paraId="11E083FD" w14:textId="77777777" w:rsidR="00AD02C1" w:rsidRDefault="00AD02C1" w:rsidP="00AD02C1">
      <w:pPr>
        <w:spacing w:line="312" w:lineRule="exact"/>
      </w:pPr>
      <w:r>
        <w:rPr>
          <w:rFonts w:hint="eastAsia"/>
          <w:szCs w:val="21"/>
        </w:rPr>
        <w:t>注：</w:t>
      </w:r>
      <w:r>
        <w:rPr>
          <w:rFonts w:hint="eastAsia"/>
          <w:szCs w:val="21"/>
          <w:lang w:eastAsia="zh-Hans"/>
        </w:rPr>
        <w:t>本基金交易证券、基金等产生的费用和税负，按实际发生额从基金资产扣除。</w:t>
      </w:r>
    </w:p>
    <w:p w14:paraId="6D344A43" w14:textId="77777777" w:rsidR="00AD02C1" w:rsidRPr="00AD02C1" w:rsidRDefault="00AD02C1" w:rsidP="00AD02C1">
      <w:pPr>
        <w:spacing w:line="288" w:lineRule="auto"/>
        <w:rPr>
          <w:rFonts w:hAnsi="等线"/>
          <w:color w:val="000000"/>
          <w:szCs w:val="21"/>
        </w:rPr>
      </w:pPr>
    </w:p>
    <w:p w14:paraId="0A11E5E1" w14:textId="77777777" w:rsidR="00AD02C1" w:rsidRDefault="00AD02C1" w:rsidP="00AD02C1">
      <w:pPr>
        <w:pStyle w:val="zhangjiep"/>
        <w:rPr>
          <w:rFonts w:hAnsi="等线"/>
          <w:color w:val="000000"/>
          <w:sz w:val="21"/>
          <w:szCs w:val="21"/>
        </w:rPr>
      </w:pPr>
      <w:r>
        <w:rPr>
          <w:rFonts w:hAnsi="等线" w:hint="eastAsia"/>
          <w:b/>
          <w:color w:val="000000"/>
          <w:sz w:val="21"/>
          <w:szCs w:val="21"/>
        </w:rPr>
        <w:t>四、 风险揭示与重要提示</w:t>
      </w:r>
    </w:p>
    <w:p w14:paraId="6BAC8DD3" w14:textId="77777777" w:rsidR="00AD02C1" w:rsidRDefault="00AD02C1" w:rsidP="00AD02C1">
      <w:pPr>
        <w:pStyle w:val="zhangjiep"/>
        <w:rPr>
          <w:rFonts w:hAnsi="等线"/>
          <w:color w:val="000000"/>
          <w:sz w:val="21"/>
          <w:szCs w:val="21"/>
        </w:rPr>
      </w:pPr>
      <w:r>
        <w:rPr>
          <w:rFonts w:hAnsi="等线" w:hint="eastAsia"/>
          <w:b/>
          <w:color w:val="000000"/>
          <w:sz w:val="21"/>
          <w:szCs w:val="21"/>
        </w:rPr>
        <w:t xml:space="preserve">（一）风险揭示 </w:t>
      </w:r>
    </w:p>
    <w:p w14:paraId="55C9D47B"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本基金不提供任何保证。投资者可能损失投资本金。</w:t>
      </w:r>
    </w:p>
    <w:p w14:paraId="3AE96433"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投资有风险，投资者购买基金时应认真阅读本基金的《招募说明书》等销售文件。</w:t>
      </w:r>
    </w:p>
    <w:p w14:paraId="26B5D97D"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本基金的风险主要包括：</w:t>
      </w:r>
    </w:p>
    <w:p w14:paraId="29654589"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lastRenderedPageBreak/>
        <w:t>-市场风险</w:t>
      </w:r>
    </w:p>
    <w:p w14:paraId="2D296A4B"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1、政策风险，2、利率风险，3、信用风险，4、通货膨胀风险，5、再投资风险，6、法律风险；</w:t>
      </w:r>
    </w:p>
    <w:p w14:paraId="28DF8AB3"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-管理风险；</w:t>
      </w:r>
    </w:p>
    <w:p w14:paraId="22D8CB7F"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-流动性风险；</w:t>
      </w:r>
    </w:p>
    <w:p w14:paraId="72039223"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-其它风险；</w:t>
      </w:r>
    </w:p>
    <w:p w14:paraId="0E0A421A"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-特有风险</w:t>
      </w:r>
    </w:p>
    <w:p w14:paraId="3A969CD0" w14:textId="77777777" w:rsidR="00AD02C1" w:rsidRDefault="00AD02C1" w:rsidP="00AD02C1">
      <w:pPr>
        <w:pStyle w:val="neirong"/>
        <w:ind w:firstLine="480"/>
        <w:rPr>
          <w:rFonts w:hAnsi="等线"/>
          <w:color w:val="000000"/>
          <w:sz w:val="21"/>
          <w:szCs w:val="21"/>
        </w:rPr>
      </w:pPr>
      <w:bookmarkStart w:id="1" w:name="_Hlk150940893"/>
      <w:bookmarkStart w:id="2" w:name="_Hlk118671663"/>
      <w:r>
        <w:rPr>
          <w:rFonts w:hAnsi="等线" w:hint="eastAsia"/>
          <w:color w:val="000000"/>
          <w:sz w:val="21"/>
          <w:szCs w:val="21"/>
        </w:rPr>
        <w:t>1、指数化投资的风险</w:t>
      </w:r>
    </w:p>
    <w:p w14:paraId="3F0AA856"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本基金投资于标的指数成份股及备选成份股的资产不低于非现金资产的80%且不低于基金资产净值的90%，业绩表现将会随着标的指数的波动而波动；同时本基金在多数情况下将维持较高的股票仓位，在股票市场下跌的过程中，可能面临基金净值与标的指数同步下跌的风险。</w:t>
      </w:r>
    </w:p>
    <w:p w14:paraId="16E8BDB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（1）标的指数回报与股票市场平均回报偏离的风险</w:t>
      </w:r>
    </w:p>
    <w:p w14:paraId="79C3D4F9"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标的指数并不能代表整个股票市场。标的指数成份股的平均回报率与整个股票市场的平均回报率可能存在偏离。</w:t>
      </w:r>
    </w:p>
    <w:p w14:paraId="68CE421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（2）标的指数波动的风险</w:t>
      </w:r>
    </w:p>
    <w:p w14:paraId="4BC9C937"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标的指数成份股的价格可能受到政治因素、经济因素、上市公司经营状况、投资人心理和交易制度等各种因素的影响而波动，导致指数波动，从而使基金收益水平发生变化，产生风险。</w:t>
      </w:r>
    </w:p>
    <w:p w14:paraId="1739158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（3）部分成份股权重较大的风险</w:t>
      </w:r>
    </w:p>
    <w:p w14:paraId="03FCA282"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根据本基金标的指数编制方案，存在个别成份股权重较大、集中度较高的情况，可能使基金面临较大波动风险或流动性风险。</w:t>
      </w:r>
    </w:p>
    <w:p w14:paraId="0DF3185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（4）基金收益率与业绩比较基准收益率偏离的风险</w:t>
      </w:r>
    </w:p>
    <w:p w14:paraId="41FA7809"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以下因素可能使基金收益率与业绩比较基准收益率发生偏离：</w:t>
      </w:r>
    </w:p>
    <w:p w14:paraId="40DBB95A"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1）标的指数调整成份股或变更编制方法，使本基金在相应的组合调整中产生跟踪偏离度与跟踪误差。</w:t>
      </w:r>
    </w:p>
    <w:p w14:paraId="4862817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2）标的指数成份股发生配股、增发等行为导致成份股在标的指数中的权重发生变化，使本基金在相应的组合调整中产生跟踪偏离度和跟踪误差。</w:t>
      </w:r>
    </w:p>
    <w:p w14:paraId="060EA9C6"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3）成份股派发现金红利、送配等所获收益导致基金收益率偏离业绩比较基准收益率，从而产生跟踪偏离度和跟踪误差。</w:t>
      </w:r>
    </w:p>
    <w:p w14:paraId="7B93D317"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4）由于成份股摘牌或流动性差等因素，基金无法及时调整投资组合或承担冲击成本而产生跟踪偏离度和跟踪误差。</w:t>
      </w:r>
    </w:p>
    <w:p w14:paraId="7116021A"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5）基金投资过程中的证券交易成本，以及基金管理费和托管费等，可能导致本基金在跟踪业绩比较基准时产生收益上的偏离。</w:t>
      </w:r>
    </w:p>
    <w:p w14:paraId="745B9D3F"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lastRenderedPageBreak/>
        <w:t>6）在本基金指数化投资过程中，基金管理人的管理能力，例如跟踪标的指数的水平、技术手段、买入卖出的时机选择等，都会对本基金的收益产生影响，从而影响本基金对业绩比较基准的跟踪程度。</w:t>
      </w:r>
    </w:p>
    <w:p w14:paraId="79AC7930"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7）基金现金资产的拖累会影响本基金对业绩比较基准的跟踪程度。</w:t>
      </w:r>
    </w:p>
    <w:p w14:paraId="68B217A7"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8）特殊情况下，如果本基金采取成份股替代策略，基金投资组合与标的指数构成的差异可能导致基金收益率与业绩比较基准收益率产生偏离。</w:t>
      </w:r>
    </w:p>
    <w:p w14:paraId="13424D31"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9）其他因素产生的偏离。如因受到最低买入股数的限制，基金投资组合中个别股票的持有比例与标的指数中该股票的权重可能不完全相同；因缺乏卖空、对冲机制及其他工具造成的指数跟踪成本较大；因基金申购与赎回带来的现金变动；因基金分红带来的证券买卖价格波动、证券交易成本、基金仓位变动等；因指数编制机构指数编制错误等，由此产生跟踪偏离度与跟踪误差。</w:t>
      </w:r>
    </w:p>
    <w:p w14:paraId="71981D60"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（5）跟踪误差控制未达约定目标的风险</w:t>
      </w:r>
    </w:p>
    <w:p w14:paraId="73ABDE2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本基金力争将日均跟踪偏离度的绝对值控制在0.35%以内，年化跟踪误差控制在4%以内，但因标的指数编制规则调整或其他因素可能导致跟踪误差超过上述范围，本基金净值表现与指数价格走势可能发生较大偏离。</w:t>
      </w:r>
    </w:p>
    <w:p w14:paraId="2375E512"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（6）标的指数值计算出错的风险</w:t>
      </w:r>
    </w:p>
    <w:p w14:paraId="7CE19CDB"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尽管指数编制机构将采取一切必要措施以确保指数的准确性，但不对此作任何保证，亦不因指数的任何错误对任何人负责。因此，如果标的指数值出现错误，投资人参考指数值进行投资决策，则可能导致损失。</w:t>
      </w:r>
    </w:p>
    <w:p w14:paraId="764B7C09"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（7）指数编制机构停止服务的风险</w:t>
      </w:r>
    </w:p>
    <w:p w14:paraId="48E2567C"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本基金的标的指数由指数编制机构发布并管理和维护，未来指数编制机构可能由于各种原因停止对指数的管理和维护，本基金将根据基金合同的约定自该情形发生之日起十个工作日内向中国证监会报告并提出解决方案，如更换基金标的指数、转换运作方式、与其他基金合并或者终止基金合同等，并在6个月内召集基金份额持有人大会进行表决，基金份额持有人大会未成功召开或就上述事项表决未通过的，基金合同终止。投资人将面临更换基金标的指数、转换运作方式、与其他基金合并、或者终止基金合同等风险。</w:t>
      </w:r>
    </w:p>
    <w:p w14:paraId="2E1CBE92"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1FC7B39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（8）标的指数编制方案带来的风险</w:t>
      </w:r>
    </w:p>
    <w:p w14:paraId="4B42804D"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本基金标的指数由指数编制机构发布并管理和维护，指数编制机构有权停止编制标的指数、变更标的指数编制方案。而指数编制方案基于其样本空间仅能选取部分证券予以构建，其表征性与可投资性可能存在不成熟或不完备之处。</w:t>
      </w:r>
    </w:p>
    <w:p w14:paraId="5140E3E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当指数编制机构变更标的指数编制方案，导致指数成份股样本与权重发生调整，基金管理人需调整投资组合，从而可能增加基金运作难度、跟踪误差和组合调整的风险与成</w:t>
      </w:r>
      <w:r>
        <w:rPr>
          <w:rFonts w:hAnsi="等线" w:hint="eastAsia"/>
          <w:color w:val="000000"/>
          <w:sz w:val="21"/>
          <w:szCs w:val="21"/>
        </w:rPr>
        <w:lastRenderedPageBreak/>
        <w:t>本，并可能导致基金风险收益特征发生较大变化；此外，当市场环境发生变化，但指数编制机构未能及时对指数编制方案进行调整时，可能导致标的指数的表现与总体市场表现存在差异，从而影响投资收益。投资人需关注并承担上述风险，谨慎作出投资决策。</w:t>
      </w:r>
    </w:p>
    <w:p w14:paraId="4173541B"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（9）标的指数变更的风险</w:t>
      </w:r>
    </w:p>
    <w:p w14:paraId="006E6515"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如出现变更标的指数的情形，本基金将变更标的指数。基于原标的指数的投资政策将会改变，投资组合将随之调整，基金的收益风险特征将与新的标的指数保持一致，投资者须承担此项调整带来的风险。</w:t>
      </w:r>
    </w:p>
    <w:p w14:paraId="26287ED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（10）成份股停牌的风险</w:t>
      </w:r>
    </w:p>
    <w:p w14:paraId="7A97D2E1"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标的指数成份股可能因各种原因临时或长期停牌，发生成份股停牌时可能面临如下风险：1）基金可能因无法及时调整投资组合而导致跟踪偏离度和跟踪误差扩大。2）在极端情况下，标的指数成份股可能大面积停牌，基金可能无法及时卖出成份股以获取足额的符合要求的赎回款项，由此基金管理人可能根据基金合同的约定采取暂停赎回的措施，投资者将面临无法赎回全部或部分基金份额的风险。</w:t>
      </w:r>
    </w:p>
    <w:p w14:paraId="2D81EAFA"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本基金可投资股指期货。股指期货采用保证金交易制度，由于保证金交易具有杠杆性，当出现不利行情时，微小的变动就可能会使投资人权益遭受较大损失。同时，股指期货采用每日无负债结算制度，如果没有在规定的时间内补足保证金，按规定将被强制平仓，可能给基金净值带来重大损失。</w:t>
      </w:r>
    </w:p>
    <w:p w14:paraId="6C2043F9"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本基金可投资股票期权。股票期权作为一种金融衍生品，具备一些特有的风险点。投资股票期权所面临的主要风险是衍生品价格波动带来的市场风险；衍生品基础资产交易量大于市场可报价的交易量而产生的流动性风险；衍生品合约价格和标的指数价格之间的价格差的波动所造成基差风险；无法及时筹措资金满足建立或者维持衍生品合约头寸所要求的保证金而带来的保证金风险；交易对手不愿或无法履行契约而产生的信用风险；以及各类操作风险。</w:t>
      </w:r>
    </w:p>
    <w:p w14:paraId="2CDC886A"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4、本基金可投资国债期货。国债期货交易采用保证金交易方式，基金资产可能由于无法及时筹措资金满足建立或者维持国债期货头寸所要求的保证金而面临保证金风险。同时，该潜在损失可能成倍放大，具有杠杆性风险。另外，国债期货在对冲市场风险的使用过程中，基金资产可能因为国债期货合约与合约标的价格波动不一致而面临基差风险。</w:t>
      </w:r>
    </w:p>
    <w:p w14:paraId="236A2626"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5、本基金可投资资产支持证券。基金管理人本着谨慎和控制风险的原则进行资产支持证券投资，但仍或面临信用风险、利率风险、提前偿付风险、操作风险，所投资的资产支持证券之债务人出现违约，或由于资产支持证券信用质量降低、市场利率波动导致证券价格下降，造成基金财产损失。受资产支持证券市场规模及交易活跃程度的影响，资产支持证券存在一定的流动性风险。</w:t>
      </w:r>
    </w:p>
    <w:p w14:paraId="3A4638E7"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6、港股交易失败风险：港股通业务存在每日额度限制。在香港联合交易所有限公司开市前阶段，当日额度使用完毕的，新增的买单申报将面临失败的风险；在联交所持续交易时段，当日额度使用完毕的，当日本基金将面临不能通过港股通进行买入交易的风险。</w:t>
      </w:r>
    </w:p>
    <w:p w14:paraId="3301B921"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lastRenderedPageBreak/>
        <w:t>7、汇率风险：本基金可投资港股通标的股票，在交易时间内提交订单依据的港币买入参考汇率和卖出参考汇率，并不等于最终结算汇率。港股通交易日日终，中国证券登记结算有限责任公司进行净额换汇，将换汇成本按成交金额分摊至每笔交易，确定交易实际适用的结算汇率。故本基金投资面临汇率风险，汇率波动可能对基金的投资收益造成损失。</w:t>
      </w:r>
    </w:p>
    <w:p w14:paraId="6427FE34"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8、境外市场的风险。</w:t>
      </w:r>
    </w:p>
    <w:p w14:paraId="6D4FFB36"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本基金可通过“港股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14:paraId="30653D28"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（2）香港市场交易规则有别于内地A股市场规则，此外，在港股通机制下参与香港股票投资还将面临包括但不限于如下特殊风险：</w:t>
      </w:r>
    </w:p>
    <w:p w14:paraId="36E7E8CB"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1）港股市场股价波动较大的风险：香港市场证券实行T+0回转交易，且对个股交易价格并无涨跌幅上下限的规定，因此港股可能表现出比A股更为剧烈的股价波动；</w:t>
      </w:r>
    </w:p>
    <w:p w14:paraId="79DA9599"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港股通机制下交易日不连贯可能带来的风险：只有内地与香港两地均为交易日才可进行港股通交易，因此在内地开市香港休市的情形下，港股通不能正常交易，港股不能及时卖出，可能带来一定的流动性风险；</w:t>
      </w:r>
    </w:p>
    <w:p w14:paraId="51AA175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香港出现台风、黑色暴雨或者联交所规定的其他情形时，联交所将可能停市，投资者将面临在停市期间无法进行港股通交易的风险；出现内地证券交易所证券交易服务公司认定的交易异常情况时，内地证券交易所证券交易服务公司将可能暂停提供部分或者全部港股通服务，投资者将面临在暂停服务期间无法进行港股通交易的风险；</w:t>
      </w:r>
    </w:p>
    <w:p w14:paraId="054DB807"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4）投资者因港股通股票权益分派、转换、上市公司被收购等情形或者异常情况，所取得的港股通股票以外的联交所上市证券，只能通过港股通卖出，但不得买入，内地证券交易所另有规定的除外；因港股通股票权益分派或者转换等情形取得的联交所上市股票的认购权利在联交所上市的，可以通过港股通卖出，但不得行权；因港股通股票权益分派、转换或者上市公司被收购等所取得的非联交所上市证券，可以享有相关权益，但不得通过港股通买入或卖出；</w:t>
      </w:r>
    </w:p>
    <w:p w14:paraId="1199951A"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5）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w:t>
      </w:r>
    </w:p>
    <w:p w14:paraId="4BF9AE88"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9、基金可根据投资策略需要或不同配置地市场环境的变化，选择将部分基金资产投资于港股或选择不将基金资产投资于港股，基金资产并非必然投资港股，存在不对港股进行投资的可能。</w:t>
      </w:r>
    </w:p>
    <w:p w14:paraId="44A97810"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10、科创板的投资风险</w:t>
      </w:r>
    </w:p>
    <w:p w14:paraId="346FE3CA"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lastRenderedPageBreak/>
        <w:t>（1）流动性风险。科创板投资者门槛较高，流动性可能弱于A股其他板块，且机构投资者可能在特定阶段对科创板个股形成一致性预期，存在基金持有股票无法正常成交的风险。</w:t>
      </w:r>
    </w:p>
    <w:p w14:paraId="43829E64"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（2）退市风险。科创板执行比A股其他板块更为严格的退市标准，且不再设置暂停上市、恢复上市和重新上市环节，上市公司退市风险更大，可能给基金净值带来不利影响。</w:t>
      </w:r>
    </w:p>
    <w:p w14:paraId="05032C49"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（3）投资集中风险。因科创板上市企业均为科技创新成长性企业，其商业模式、盈利风险、业绩波动等特征较为相似，基金难以通过分散投资降低投资风险，若股票价格同向波动，将引起基金净值波动。</w:t>
      </w:r>
    </w:p>
    <w:p w14:paraId="65C6AAB5"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11、基金无法存续的风险</w:t>
      </w:r>
    </w:p>
    <w:p w14:paraId="118FD8D1"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基金合同生效满3年后继续存续的，连续50个工作日出现基金份额持有人数量不满 200 人或者基金资产净值低于 5000 万元情形的，本基金将根据基金合同第十九部分的约定进行基金财产清算并终止，而无须召开基金份额持有人大会。因而，本基金存在着无法存续的风险。</w:t>
      </w:r>
    </w:p>
    <w:p w14:paraId="567D9574"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12、融资业务的主要风险</w:t>
      </w:r>
    </w:p>
    <w:p w14:paraId="2ADB6094"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（1）市场风险</w:t>
      </w:r>
    </w:p>
    <w:p w14:paraId="3D14D4A6"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可能放大投资损失的风险：融资业务具有杠杆效应，它在放大投资收益的同时也必然放大投资风险。将股票作为担保品进行融资交易时，既需要承担原有的股票价格下跌带来的风险，又得承担融资买入股票带来的风险，同时还须支付相应的利息和费用，由此承担的风险可能远远超过普通证券交易。</w:t>
      </w:r>
    </w:p>
    <w:p w14:paraId="632EB7B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2）利率变动带来的成本加大风险：在从事融资交易期间，如中国人民银行规定的同期贷款基准利率调高，证券公司将相应调高融资利率，投资成本也因为利率的上调而增加，将面临融资成本增加的风险。</w:t>
      </w:r>
    </w:p>
    <w:p w14:paraId="124A2E3D"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强制平仓风险：融资交易中，投资组合与证券公司间除了普通交易的委托买卖关系外，还存在着较为复杂的债权债务关系，以及由于债权债务产生的信托关系和担保关系。证券公司为保护自身债权，对投资组合信用账户的资产负债情况实时监控，在一定条件下可以对投资组合担保资产执行强制平仓,且平仓的品种、数量、价格、时机将不受投资组合的控制，平仓的数额可能超过全部负债，由此给投资组合带来损失。</w:t>
      </w:r>
    </w:p>
    <w:p w14:paraId="42DC9654"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4）外部监管风险：在融资交易出现异常或市场出现系统性风险时，监管部门、证券交易所和证券公司都将可能对融资交易采取相应措施，例如提高融资保证金比例、维持担保比例和强制平仓的条件等，以维护市场平稳运行。这些措施将可能给本金带来杠杆效应降低、甚至提前进入追加担保物或强制平仓状态等潜在损失。</w:t>
      </w:r>
    </w:p>
    <w:p w14:paraId="237FE8E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（2）流动性风险</w:t>
      </w:r>
    </w:p>
    <w:p w14:paraId="7D16142B"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融资业务的流动性风险主要指当基金不能按照约定的期限清偿债务，或上市证券价格波动导致担保物价值与融资债务之间的比例低于平仓维持担保比例，且不能按照约定的时间追加担保物时面临强制平仓的风险。</w:t>
      </w:r>
    </w:p>
    <w:p w14:paraId="5310AF4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（3）信用风险</w:t>
      </w:r>
    </w:p>
    <w:p w14:paraId="42221C9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lastRenderedPageBreak/>
        <w:t>信用风险主要指交易对手违约产生的风险。一方面，如果证券公司没有按照融资合同的要求履行义务可能带来风险；另一方面，若在从事融资交易期间，证券公司融资业务资格、融资业务交易权限被取消或被暂停，证券公司可能无法履约，则投资组合可能会面临一定的风险。</w:t>
      </w:r>
    </w:p>
    <w:p w14:paraId="31AF1A0E"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13、本基金参与转融通证券出借业务的风险</w:t>
      </w:r>
    </w:p>
    <w:p w14:paraId="25875F15"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本基金可根据法律法规和基金合同的约定参与转融通证券出借业务，可能存在转融通证券出借业务特有风险，包括但不限于以下风险：</w:t>
      </w:r>
    </w:p>
    <w:p w14:paraId="555773DB"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（1）流动性风险</w:t>
      </w:r>
    </w:p>
    <w:p w14:paraId="1704807D"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面对大额赎回时，可能因证券出借原因发生无法及时变现、支付赎回款项的风险；</w:t>
      </w:r>
    </w:p>
    <w:p w14:paraId="22C1EC6A"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（2）信用风险</w:t>
      </w:r>
    </w:p>
    <w:p w14:paraId="04977069"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证券出借对手方可能无法及时归还证券、无法支付相应权益补偿及借券费用的风险；</w:t>
      </w:r>
    </w:p>
    <w:p w14:paraId="40C00DB6"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（3）市场风险</w:t>
      </w:r>
    </w:p>
    <w:p w14:paraId="22DAE758"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证券出借后可能面临出借期间无法及时处置证券的风险。</w:t>
      </w:r>
    </w:p>
    <w:p w14:paraId="42E9E7D8"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14、存托凭证投资风险</w:t>
      </w:r>
    </w:p>
    <w:p w14:paraId="2270313F"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本基金可投资存托凭证，存托凭证是由存托人签发、以境外证券为基础在中国境内发行，代表境外基础证券权益。存托凭证持有人实际享有的权益与境外基础证券持有人的权益虽然基本相当，但并不能等同于直接持有境外基础证券。投资于存托凭证可能会面临由于境内外市场上市交易规则、上市公司治理结构、股东权利等差异带来的相关成本和投资风险。在交易和持有存托凭证过程中需要承担的义务及可能受到的限制，应当关注证券交易普遍具有的宏观经济风险、政策风险、市场风险、不可抗力风险等。</w:t>
      </w:r>
    </w:p>
    <w:p w14:paraId="451E0751"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15、基金转型的风险</w:t>
      </w:r>
    </w:p>
    <w:p w14:paraId="2C0B8891"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若基金管理人注册并成立追踪标的指数的交易型开放式指数基金（ETF），在不改变本基金投资目标的前提下，本基金可变更为该ETF的联接基金。该联接基金将其绝大部分基金财产投资于跟踪同一标的指数的ETF，紧密跟踪标的指数表现，追求跟踪偏离度和跟踪误差的最小化。以上变更需经基金管理人和基金托管人协商一致后修改基金合同，但不需召开基金份额持有人大会审议。因此，本基金存在自动转型的风险。</w:t>
      </w:r>
    </w:p>
    <w:p w14:paraId="5182E9DB"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16、发起式基金的特有风险</w:t>
      </w:r>
    </w:p>
    <w:p w14:paraId="265265D4"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基金合同生效满3年后的对应日（若无对应日则顺延至下一日），若基金资产净值低于2亿元，基金合同应当终止，且不得通过召开基金份额持有人大会的方式延续。故投资者还可能面临本基金自动终止的风险。</w:t>
      </w:r>
    </w:p>
    <w:bookmarkEnd w:id="1"/>
    <w:p w14:paraId="421945BD"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-本基金法律文件风险收益特征表述与销售机构基金风险评价可能不一致的风险</w:t>
      </w:r>
    </w:p>
    <w:bookmarkEnd w:id="2"/>
    <w:p w14:paraId="5E9547B0" w14:textId="77777777" w:rsidR="00AD02C1" w:rsidRDefault="00AD02C1" w:rsidP="00AD02C1">
      <w:pPr>
        <w:spacing w:line="288" w:lineRule="auto"/>
        <w:rPr>
          <w:rFonts w:hAnsi="等线"/>
          <w:color w:val="000000"/>
          <w:szCs w:val="21"/>
        </w:rPr>
      </w:pPr>
    </w:p>
    <w:p w14:paraId="1FEC1796" w14:textId="77777777" w:rsidR="00AD02C1" w:rsidRDefault="00AD02C1" w:rsidP="00AD02C1">
      <w:pPr>
        <w:pStyle w:val="zhangjiep"/>
        <w:rPr>
          <w:rFonts w:hAnsi="等线"/>
          <w:color w:val="000000"/>
          <w:sz w:val="21"/>
          <w:szCs w:val="21"/>
        </w:rPr>
      </w:pPr>
      <w:r>
        <w:rPr>
          <w:rFonts w:hAnsi="等线" w:hint="eastAsia"/>
          <w:b/>
          <w:color w:val="000000"/>
          <w:sz w:val="21"/>
          <w:szCs w:val="21"/>
        </w:rPr>
        <w:t xml:space="preserve">（二）重要提示 </w:t>
      </w:r>
    </w:p>
    <w:p w14:paraId="3F519781"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中国证监会对本基金募集的注册，并不表明其对本基金的投资价值、市场前景和收益做出实质性判断或保证，也不表明投资于本基金没有风险。</w:t>
      </w:r>
    </w:p>
    <w:p w14:paraId="382E0AAD"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lastRenderedPageBreak/>
        <w:t>基金管理人依照恪尽职守、诚实信用、谨慎勤勉的原则管理和运用基金财产，但不保证投资于本基金一定盈利，也不保证最低收益。</w:t>
      </w:r>
    </w:p>
    <w:p w14:paraId="595C6E61"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 xml:space="preserve">基金投资者自依据基金合同取得基金份额，即成为本基金的基金份额持有人和基金合同的当事人。 </w:t>
      </w:r>
    </w:p>
    <w:p w14:paraId="4A036FC8"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14:paraId="00E41EC2" w14:textId="77777777" w:rsidR="00AD02C1" w:rsidRDefault="00AD02C1" w:rsidP="00AD02C1">
      <w:pPr>
        <w:pStyle w:val="neirong"/>
        <w:ind w:firstLine="480"/>
        <w:rPr>
          <w:rFonts w:hAnsi="等线"/>
          <w:bCs/>
          <w:color w:val="000000"/>
          <w:sz w:val="21"/>
          <w:szCs w:val="21"/>
        </w:rPr>
      </w:pPr>
      <w:r>
        <w:rPr>
          <w:rFonts w:hAnsi="等线" w:hint="eastAsia"/>
          <w:bCs/>
          <w:color w:val="000000"/>
          <w:sz w:val="21"/>
          <w:szCs w:val="21"/>
        </w:rPr>
        <w:t>各方当事人同意，因《基金合同》而产生的或与《基金合同》有关的一切争议，如经友好协商未能解决的，应提交仲裁。任何一方应将争议提交深圳国际仲裁院仲裁，按照该会届时有效的仲裁规则进行仲裁。仲裁地点为深圳市。仲裁裁决是终局的，对当事人均有约束力。除非仲裁裁决另有决定，仲裁费用由败诉方承担。</w:t>
      </w:r>
    </w:p>
    <w:p w14:paraId="4A7C9673" w14:textId="77777777" w:rsidR="00AD02C1" w:rsidRDefault="00AD02C1" w:rsidP="00AD02C1">
      <w:pPr>
        <w:pStyle w:val="neirong"/>
        <w:ind w:firstLine="480"/>
        <w:rPr>
          <w:rFonts w:hAnsi="等线"/>
          <w:color w:val="000000"/>
          <w:sz w:val="21"/>
          <w:szCs w:val="21"/>
        </w:rPr>
      </w:pPr>
      <w:r>
        <w:rPr>
          <w:rFonts w:hAnsi="等线" w:hint="eastAsia"/>
          <w:color w:val="000000"/>
          <w:sz w:val="21"/>
          <w:szCs w:val="21"/>
        </w:rPr>
        <w:t>争议处理期间，基金管理人和基金托管人应恪守各自的职责，继续忠实、勤勉、尽责地履行基金合同规定的义务，维护基金份额持有人的合法权益。</w:t>
      </w:r>
    </w:p>
    <w:p w14:paraId="28A4866F"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《基金合同》受中国法律（为基金合同之目的，在此不包括香港、澳门特别行政区和台湾地区的有关规定）管辖并从其解释。</w:t>
      </w:r>
    </w:p>
    <w:p w14:paraId="4AC6084C" w14:textId="77777777" w:rsidR="00AD02C1" w:rsidRDefault="00AD02C1" w:rsidP="00AD02C1">
      <w:pPr>
        <w:spacing w:line="288" w:lineRule="auto"/>
        <w:rPr>
          <w:rFonts w:hAnsi="等线"/>
          <w:color w:val="000000"/>
          <w:szCs w:val="21"/>
        </w:rPr>
      </w:pPr>
    </w:p>
    <w:p w14:paraId="2A391963" w14:textId="77777777" w:rsidR="00AD02C1" w:rsidRDefault="00AD02C1" w:rsidP="00AD02C1">
      <w:pPr>
        <w:pStyle w:val="zhangjiep"/>
        <w:rPr>
          <w:rFonts w:hAnsi="等线"/>
          <w:color w:val="000000"/>
          <w:sz w:val="21"/>
          <w:szCs w:val="21"/>
        </w:rPr>
      </w:pPr>
      <w:r>
        <w:rPr>
          <w:rFonts w:hAnsi="等线" w:hint="eastAsia"/>
          <w:b/>
          <w:color w:val="000000"/>
          <w:sz w:val="21"/>
          <w:szCs w:val="21"/>
        </w:rPr>
        <w:t>五、 其他资料查询方式</w:t>
      </w:r>
    </w:p>
    <w:p w14:paraId="6B8FB345"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以下资料详见基金管理人网站[www.zofund.com][客服电话：400-700-9700]</w:t>
      </w:r>
    </w:p>
    <w:p w14:paraId="02DD42C6"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1、《中欧上证科创板100指数发起式证券投资基金基金合同》</w:t>
      </w:r>
    </w:p>
    <w:p w14:paraId="7D575E33"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《中欧上证科创板100指数发起式证券投资基金托管协议》</w:t>
      </w:r>
    </w:p>
    <w:p w14:paraId="1BC5B42E"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《中欧上证科创板100指数发起式证券投资基金招募说明书》</w:t>
      </w:r>
    </w:p>
    <w:p w14:paraId="0A9E179D"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2、定期报告，包括基金季度报告、中期报告和年度报告</w:t>
      </w:r>
    </w:p>
    <w:p w14:paraId="6DFC9FC6"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3、基金份额净值</w:t>
      </w:r>
    </w:p>
    <w:p w14:paraId="0F8A628C"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4、基金销售机构及联系方式</w:t>
      </w:r>
    </w:p>
    <w:p w14:paraId="4AF352D3" w14:textId="77777777" w:rsidR="00AD02C1" w:rsidRDefault="00AD02C1" w:rsidP="00AD02C1">
      <w:pPr>
        <w:pStyle w:val="neirong"/>
        <w:spacing w:before="0"/>
        <w:ind w:left="0" w:firstLine="480"/>
        <w:rPr>
          <w:rFonts w:hAnsi="等线"/>
          <w:color w:val="000000"/>
          <w:sz w:val="21"/>
          <w:szCs w:val="21"/>
        </w:rPr>
      </w:pPr>
      <w:r>
        <w:rPr>
          <w:rFonts w:hAnsi="等线" w:hint="eastAsia"/>
          <w:color w:val="000000"/>
          <w:sz w:val="21"/>
          <w:szCs w:val="21"/>
        </w:rPr>
        <w:t>5、其他重要资料</w:t>
      </w:r>
    </w:p>
    <w:p w14:paraId="73BD4ACE" w14:textId="77777777" w:rsidR="00AD02C1" w:rsidRDefault="00AD02C1" w:rsidP="00AD02C1">
      <w:pPr>
        <w:spacing w:line="288" w:lineRule="auto"/>
        <w:rPr>
          <w:rFonts w:hAnsi="等线"/>
          <w:color w:val="000000"/>
          <w:szCs w:val="21"/>
        </w:rPr>
      </w:pPr>
    </w:p>
    <w:p w14:paraId="3FEBBF17" w14:textId="77777777" w:rsidR="00AD02C1" w:rsidRDefault="00AD02C1" w:rsidP="00AD02C1">
      <w:pPr>
        <w:pStyle w:val="zhangjiep"/>
        <w:rPr>
          <w:rFonts w:hAnsi="等线"/>
          <w:color w:val="000000"/>
          <w:sz w:val="21"/>
          <w:szCs w:val="21"/>
        </w:rPr>
      </w:pPr>
      <w:r>
        <w:rPr>
          <w:rFonts w:hAnsi="等线" w:hint="eastAsia"/>
          <w:b/>
          <w:color w:val="000000"/>
          <w:sz w:val="21"/>
          <w:szCs w:val="21"/>
        </w:rPr>
        <w:t>六、 其他情况说明</w:t>
      </w:r>
    </w:p>
    <w:p w14:paraId="520EB1BE" w14:textId="77777777" w:rsidR="00AD02C1" w:rsidRDefault="00AD02C1" w:rsidP="00AC40BA">
      <w:pPr>
        <w:spacing w:line="360" w:lineRule="auto"/>
        <w:ind w:right="28" w:firstLineChars="200" w:firstLine="420"/>
        <w:rPr>
          <w:rFonts w:ascii="宋体" w:hAnsi="宋体"/>
          <w:sz w:val="24"/>
          <w:szCs w:val="24"/>
        </w:rPr>
      </w:pPr>
      <w:r>
        <w:rPr>
          <w:rFonts w:hAnsi="等线" w:hint="eastAsia"/>
          <w:color w:val="000000"/>
          <w:szCs w:val="21"/>
        </w:rPr>
        <w:t>无</w:t>
      </w:r>
    </w:p>
    <w:p w14:paraId="18C59E71" w14:textId="77777777" w:rsidR="000F0EBE" w:rsidRDefault="000F0EBE"/>
    <w:sectPr w:rsidR="000F0E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D7361" w14:textId="77777777" w:rsidR="009C4CDD" w:rsidRDefault="009C4CDD" w:rsidP="00490A04">
      <w:r>
        <w:separator/>
      </w:r>
    </w:p>
  </w:endnote>
  <w:endnote w:type="continuationSeparator" w:id="0">
    <w:p w14:paraId="5CA494AD" w14:textId="77777777" w:rsidR="009C4CDD" w:rsidRDefault="009C4CDD" w:rsidP="0049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6E594" w14:textId="77777777" w:rsidR="009C4CDD" w:rsidRDefault="009C4CDD" w:rsidP="00490A04">
      <w:r>
        <w:separator/>
      </w:r>
    </w:p>
  </w:footnote>
  <w:footnote w:type="continuationSeparator" w:id="0">
    <w:p w14:paraId="5944DE2D" w14:textId="77777777" w:rsidR="009C4CDD" w:rsidRDefault="009C4CDD" w:rsidP="00490A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2C1"/>
    <w:rsid w:val="00042D27"/>
    <w:rsid w:val="0006251D"/>
    <w:rsid w:val="00071B9C"/>
    <w:rsid w:val="000B2F0E"/>
    <w:rsid w:val="000F0EBE"/>
    <w:rsid w:val="00156FE4"/>
    <w:rsid w:val="001C1669"/>
    <w:rsid w:val="00264AA0"/>
    <w:rsid w:val="002C6EB7"/>
    <w:rsid w:val="003163A6"/>
    <w:rsid w:val="00331B0A"/>
    <w:rsid w:val="00384BA6"/>
    <w:rsid w:val="00445A87"/>
    <w:rsid w:val="00490A04"/>
    <w:rsid w:val="004A31E2"/>
    <w:rsid w:val="004A44C9"/>
    <w:rsid w:val="004D2EA0"/>
    <w:rsid w:val="00661515"/>
    <w:rsid w:val="00745CDF"/>
    <w:rsid w:val="0075151A"/>
    <w:rsid w:val="00790555"/>
    <w:rsid w:val="007E1B06"/>
    <w:rsid w:val="009C4CDD"/>
    <w:rsid w:val="00A91B51"/>
    <w:rsid w:val="00A958E0"/>
    <w:rsid w:val="00AC40BA"/>
    <w:rsid w:val="00AD02C1"/>
    <w:rsid w:val="00B11D5B"/>
    <w:rsid w:val="00BC03FD"/>
    <w:rsid w:val="00C24C0B"/>
    <w:rsid w:val="00D363E8"/>
    <w:rsid w:val="00D44D9C"/>
    <w:rsid w:val="00DD6389"/>
    <w:rsid w:val="00E06BD6"/>
    <w:rsid w:val="00E33C90"/>
    <w:rsid w:val="00E41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270DF5C"/>
  <w15:chartTrackingRefBased/>
  <w15:docId w15:val="{ADDD5F88-BCF5-4527-9904-E8BEAB41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2C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hangjiep">
    <w:name w:val="zhangjie_p"/>
    <w:basedOn w:val="a"/>
    <w:rsid w:val="00AD02C1"/>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left">
    <w:name w:val="biaoge_left"/>
    <w:basedOn w:val="a"/>
    <w:rsid w:val="00AD02C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biaogecenter">
    <w:name w:val="biaoge_center"/>
    <w:basedOn w:val="a"/>
    <w:rsid w:val="00AD02C1"/>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biaogeright">
    <w:name w:val="biaoge_right"/>
    <w:basedOn w:val="a"/>
    <w:rsid w:val="00AD02C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rsid w:val="00AD02C1"/>
    <w:pPr>
      <w:widowControl/>
      <w:autoSpaceDE w:val="0"/>
      <w:autoSpaceDN w:val="0"/>
      <w:adjustRightInd w:val="0"/>
      <w:spacing w:before="29" w:line="288" w:lineRule="auto"/>
      <w:ind w:left="15"/>
      <w:jc w:val="left"/>
    </w:pPr>
    <w:rPr>
      <w:rFonts w:ascii="宋体" w:hAnsi="宋体" w:cs="宋体"/>
      <w:kern w:val="0"/>
      <w:sz w:val="24"/>
      <w:szCs w:val="24"/>
    </w:rPr>
  </w:style>
  <w:style w:type="table" w:styleId="a3">
    <w:name w:val="Table Grid"/>
    <w:basedOn w:val="a1"/>
    <w:uiPriority w:val="59"/>
    <w:rsid w:val="00AD02C1"/>
    <w:rPr>
      <w:rFonts w:ascii="Times New Roman" w:eastAsia="宋体" w:hAnsi="Times New Roman" w:cs="Times New Roman"/>
      <w:kern w:val="0"/>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490A0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90A04"/>
    <w:rPr>
      <w:rFonts w:ascii="Times New Roman" w:eastAsia="宋体" w:hAnsi="Times New Roman" w:cs="Times New Roman"/>
      <w:sz w:val="18"/>
      <w:szCs w:val="18"/>
    </w:rPr>
  </w:style>
  <w:style w:type="paragraph" w:styleId="a6">
    <w:name w:val="footer"/>
    <w:basedOn w:val="a"/>
    <w:link w:val="a7"/>
    <w:uiPriority w:val="99"/>
    <w:unhideWhenUsed/>
    <w:rsid w:val="00490A04"/>
    <w:pPr>
      <w:tabs>
        <w:tab w:val="center" w:pos="4153"/>
        <w:tab w:val="right" w:pos="8306"/>
      </w:tabs>
      <w:snapToGrid w:val="0"/>
      <w:jc w:val="left"/>
    </w:pPr>
    <w:rPr>
      <w:sz w:val="18"/>
      <w:szCs w:val="18"/>
    </w:rPr>
  </w:style>
  <w:style w:type="character" w:customStyle="1" w:styleId="a7">
    <w:name w:val="页脚 字符"/>
    <w:basedOn w:val="a0"/>
    <w:link w:val="a6"/>
    <w:uiPriority w:val="99"/>
    <w:rsid w:val="00490A04"/>
    <w:rPr>
      <w:rFonts w:ascii="Times New Roman" w:eastAsia="宋体" w:hAnsi="Times New Roman" w:cs="Times New Roman"/>
      <w:sz w:val="18"/>
      <w:szCs w:val="18"/>
    </w:rPr>
  </w:style>
  <w:style w:type="paragraph" w:styleId="a8">
    <w:name w:val="Balloon Text"/>
    <w:basedOn w:val="a"/>
    <w:link w:val="a9"/>
    <w:uiPriority w:val="99"/>
    <w:semiHidden/>
    <w:unhideWhenUsed/>
    <w:rsid w:val="00445A87"/>
    <w:rPr>
      <w:sz w:val="18"/>
      <w:szCs w:val="18"/>
    </w:rPr>
  </w:style>
  <w:style w:type="character" w:customStyle="1" w:styleId="a9">
    <w:name w:val="批注框文本 字符"/>
    <w:basedOn w:val="a0"/>
    <w:link w:val="a8"/>
    <w:uiPriority w:val="99"/>
    <w:semiHidden/>
    <w:rsid w:val="00445A87"/>
    <w:rPr>
      <w:rFonts w:ascii="Times New Roman" w:eastAsia="宋体" w:hAnsi="Times New Roman" w:cs="Times New Roman"/>
      <w:sz w:val="18"/>
      <w:szCs w:val="18"/>
    </w:rPr>
  </w:style>
  <w:style w:type="character" w:styleId="aa">
    <w:name w:val="annotation reference"/>
    <w:basedOn w:val="a0"/>
    <w:uiPriority w:val="99"/>
    <w:semiHidden/>
    <w:unhideWhenUsed/>
    <w:rsid w:val="004A44C9"/>
    <w:rPr>
      <w:sz w:val="21"/>
      <w:szCs w:val="21"/>
    </w:rPr>
  </w:style>
  <w:style w:type="paragraph" w:styleId="ab">
    <w:name w:val="annotation text"/>
    <w:basedOn w:val="a"/>
    <w:link w:val="ac"/>
    <w:uiPriority w:val="99"/>
    <w:semiHidden/>
    <w:unhideWhenUsed/>
    <w:rsid w:val="004A44C9"/>
    <w:pPr>
      <w:jc w:val="left"/>
    </w:pPr>
  </w:style>
  <w:style w:type="character" w:customStyle="1" w:styleId="ac">
    <w:name w:val="批注文字 字符"/>
    <w:basedOn w:val="a0"/>
    <w:link w:val="ab"/>
    <w:uiPriority w:val="99"/>
    <w:semiHidden/>
    <w:rsid w:val="004A44C9"/>
    <w:rPr>
      <w:rFonts w:ascii="Times New Roman" w:eastAsia="宋体" w:hAnsi="Times New Roman" w:cs="Times New Roman"/>
      <w:szCs w:val="20"/>
    </w:rPr>
  </w:style>
  <w:style w:type="paragraph" w:styleId="ad">
    <w:name w:val="annotation subject"/>
    <w:basedOn w:val="ab"/>
    <w:next w:val="ab"/>
    <w:link w:val="ae"/>
    <w:uiPriority w:val="99"/>
    <w:semiHidden/>
    <w:unhideWhenUsed/>
    <w:rsid w:val="004A44C9"/>
    <w:rPr>
      <w:b/>
      <w:bCs/>
    </w:rPr>
  </w:style>
  <w:style w:type="character" w:customStyle="1" w:styleId="ae">
    <w:name w:val="批注主题 字符"/>
    <w:basedOn w:val="ac"/>
    <w:link w:val="ad"/>
    <w:uiPriority w:val="99"/>
    <w:semiHidden/>
    <w:rsid w:val="004A44C9"/>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6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E0098-D951-436F-A6FE-1F66068E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10033</Words>
  <Characters>527</Characters>
  <Application>Microsoft Office Word</Application>
  <DocSecurity>0</DocSecurity>
  <Lines>4</Lines>
  <Paragraphs>21</Paragraphs>
  <ScaleCrop>false</ScaleCrop>
  <Company/>
  <LinksUpToDate>false</LinksUpToDate>
  <CharactersWithSpaces>10539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罗樱浦</dc:creator>
  <cp:keywords/>
  <dc:description/>
  <cp:lastModifiedBy>王啸</cp:lastModifiedBy>
  <cp:revision>11</cp:revision>
  <dcterms:created xsi:type="dcterms:W3CDTF">2024-06-28T01:52:00Z</dcterms:created>
  <dcterms:modified xsi:type="dcterms:W3CDTF">2024-06-28T07:34:00Z</dcterms:modified>
</cp:coreProperties>
</file>