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0556" w:rsidRDefault="00810556" w:rsidP="00810556">
      <w:pPr>
        <w:pStyle w:val="biaogecenter"/>
      </w:pPr>
      <w:r>
        <w:rPr>
          <w:rFonts w:hAnsi="等线" w:hint="eastAsia"/>
          <w:b/>
          <w:color w:val="000000"/>
          <w:sz w:val="21"/>
          <w:szCs w:val="21"/>
        </w:rPr>
        <w:t>中欧中证A50指数证券投资基金基金产品资料概要</w:t>
      </w:r>
    </w:p>
    <w:p w:rsidR="00810556" w:rsidRDefault="00810556" w:rsidP="00810556">
      <w:pPr>
        <w:pStyle w:val="biaogecenter"/>
        <w:rPr>
          <w:rFonts w:hAnsi="等线"/>
          <w:color w:val="000000"/>
          <w:sz w:val="21"/>
          <w:szCs w:val="21"/>
        </w:rPr>
      </w:pPr>
    </w:p>
    <w:p w:rsidR="00810556" w:rsidRDefault="00810556" w:rsidP="00810556">
      <w:pPr>
        <w:pStyle w:val="biaogeright"/>
        <w:rPr>
          <w:rFonts w:hAnsi="等线"/>
          <w:color w:val="000000"/>
          <w:sz w:val="21"/>
          <w:szCs w:val="21"/>
        </w:rPr>
      </w:pPr>
      <w:r>
        <w:rPr>
          <w:rFonts w:hAnsi="等线" w:hint="eastAsia"/>
          <w:color w:val="000000"/>
          <w:sz w:val="21"/>
          <w:szCs w:val="21"/>
        </w:rPr>
        <w:t>编制日期：2024年7月10日</w:t>
      </w:r>
    </w:p>
    <w:p w:rsidR="00810556" w:rsidRDefault="00810556" w:rsidP="00810556">
      <w:pPr>
        <w:pStyle w:val="biaogeright"/>
        <w:jc w:val="center"/>
      </w:pPr>
      <w:r>
        <w:rPr>
          <w:rFonts w:hint="eastAsia"/>
        </w:rPr>
        <w:t>送出日期：2024年7月11日</w:t>
      </w:r>
    </w:p>
    <w:p w:rsidR="00810556" w:rsidRDefault="00810556" w:rsidP="00810556">
      <w:pPr>
        <w:pStyle w:val="biaogecenter"/>
        <w:rPr>
          <w:rFonts w:hAnsi="等线"/>
          <w:color w:val="000000"/>
          <w:sz w:val="21"/>
          <w:szCs w:val="21"/>
        </w:rPr>
      </w:pPr>
      <w:r>
        <w:rPr>
          <w:rFonts w:hAnsi="等线" w:hint="eastAsia"/>
          <w:b/>
          <w:color w:val="000000"/>
          <w:sz w:val="21"/>
          <w:szCs w:val="21"/>
        </w:rPr>
        <w:t>本概要提供本基金的重要信息，是招募说明书的一部分。</w:t>
      </w:r>
    </w:p>
    <w:p w:rsidR="00810556" w:rsidRDefault="00810556" w:rsidP="00810556">
      <w:pPr>
        <w:pStyle w:val="biaogecenter"/>
        <w:rPr>
          <w:rFonts w:hAnsi="等线"/>
          <w:color w:val="000000"/>
          <w:sz w:val="21"/>
          <w:szCs w:val="21"/>
        </w:rPr>
      </w:pPr>
      <w:r>
        <w:rPr>
          <w:rFonts w:hAnsi="等线" w:hint="eastAsia"/>
          <w:b/>
          <w:color w:val="000000"/>
          <w:sz w:val="21"/>
          <w:szCs w:val="21"/>
        </w:rPr>
        <w:t>作出投资决定前，请阅读完整的招募说明书等销售文件。</w:t>
      </w:r>
    </w:p>
    <w:p w:rsidR="00810556" w:rsidRDefault="00810556" w:rsidP="00810556">
      <w:pPr>
        <w:pStyle w:val="biaogecenter"/>
        <w:rPr>
          <w:rFonts w:hAnsi="等线"/>
          <w:color w:val="000000"/>
          <w:sz w:val="21"/>
          <w:szCs w:val="21"/>
        </w:rPr>
      </w:pPr>
    </w:p>
    <w:p w:rsidR="00810556" w:rsidRDefault="00810556" w:rsidP="00810556">
      <w:pPr>
        <w:pStyle w:val="zhangjiep"/>
        <w:rPr>
          <w:rFonts w:hAnsi="等线"/>
          <w:color w:val="000000"/>
          <w:sz w:val="21"/>
          <w:szCs w:val="21"/>
        </w:rPr>
      </w:pPr>
      <w:r>
        <w:rPr>
          <w:rFonts w:hAnsi="等线" w:hint="eastAsia"/>
          <w:b/>
          <w:color w:val="000000"/>
          <w:sz w:val="21"/>
          <w:szCs w:val="21"/>
        </w:rPr>
        <w:t>一、 产品概况</w:t>
      </w:r>
    </w:p>
    <w:tbl>
      <w:tblPr>
        <w:tblW w:w="9096" w:type="dxa"/>
        <w:tblInd w:w="108" w:type="dxa"/>
        <w:tblLook w:val="04A0" w:firstRow="1" w:lastRow="0" w:firstColumn="1" w:lastColumn="0" w:noHBand="0" w:noVBand="1"/>
      </w:tblPr>
      <w:tblGrid>
        <w:gridCol w:w="1862"/>
        <w:gridCol w:w="3407"/>
        <w:gridCol w:w="1276"/>
        <w:gridCol w:w="2551"/>
      </w:tblGrid>
      <w:tr w:rsidR="00810556" w:rsidTr="00810556">
        <w:tc>
          <w:tcPr>
            <w:tcW w:w="1862"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rPr>
                <w:sz w:val="21"/>
                <w:szCs w:val="21"/>
              </w:rPr>
            </w:pPr>
            <w:r>
              <w:rPr>
                <w:rFonts w:hAnsi="等线" w:hint="eastAsia"/>
                <w:color w:val="000000"/>
                <w:sz w:val="21"/>
                <w:szCs w:val="21"/>
              </w:rPr>
              <w:t>基金简称</w:t>
            </w:r>
          </w:p>
        </w:tc>
        <w:tc>
          <w:tcPr>
            <w:tcW w:w="3407"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rPr>
                <w:sz w:val="21"/>
                <w:szCs w:val="21"/>
              </w:rPr>
            </w:pPr>
            <w:r>
              <w:rPr>
                <w:rFonts w:hAnsi="等线" w:hint="eastAsia"/>
                <w:color w:val="000000"/>
                <w:sz w:val="21"/>
                <w:szCs w:val="21"/>
              </w:rPr>
              <w:t>中欧中证A50指数</w:t>
            </w:r>
          </w:p>
        </w:tc>
        <w:tc>
          <w:tcPr>
            <w:tcW w:w="1276"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rPr>
                <w:sz w:val="21"/>
                <w:szCs w:val="21"/>
              </w:rPr>
            </w:pPr>
            <w:r>
              <w:rPr>
                <w:rFonts w:hAnsi="等线" w:hint="eastAsia"/>
                <w:color w:val="000000"/>
                <w:sz w:val="21"/>
                <w:szCs w:val="21"/>
              </w:rPr>
              <w:t>基金代码</w:t>
            </w:r>
          </w:p>
        </w:tc>
        <w:tc>
          <w:tcPr>
            <w:tcW w:w="2551" w:type="dxa"/>
            <w:tcBorders>
              <w:top w:val="single" w:sz="8" w:space="0" w:color="000000"/>
              <w:left w:val="single" w:sz="8" w:space="0" w:color="000000"/>
              <w:bottom w:val="single" w:sz="6" w:space="0" w:color="000000"/>
              <w:right w:val="single" w:sz="8" w:space="0" w:color="000000"/>
            </w:tcBorders>
            <w:vAlign w:val="center"/>
            <w:hideMark/>
          </w:tcPr>
          <w:p w:rsidR="00810556" w:rsidRDefault="00801015" w:rsidP="00801015">
            <w:pPr>
              <w:pStyle w:val="biaogeleft"/>
              <w:wordWrap w:val="0"/>
              <w:ind w:left="0"/>
              <w:rPr>
                <w:sz w:val="21"/>
                <w:szCs w:val="21"/>
              </w:rPr>
            </w:pPr>
            <w:r>
              <w:rPr>
                <w:sz w:val="21"/>
                <w:szCs w:val="21"/>
              </w:rPr>
              <w:t>021889</w:t>
            </w:r>
          </w:p>
        </w:tc>
      </w:tr>
      <w:tr w:rsidR="00810556" w:rsidTr="00810556">
        <w:tc>
          <w:tcPr>
            <w:tcW w:w="1862"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rPr>
                <w:sz w:val="21"/>
                <w:szCs w:val="21"/>
              </w:rPr>
            </w:pPr>
            <w:r>
              <w:rPr>
                <w:rFonts w:hAnsi="等线" w:hint="eastAsia"/>
                <w:color w:val="000000"/>
                <w:sz w:val="21"/>
                <w:szCs w:val="21"/>
              </w:rPr>
              <w:t>基金简称A</w:t>
            </w:r>
          </w:p>
        </w:tc>
        <w:tc>
          <w:tcPr>
            <w:tcW w:w="3407" w:type="dxa"/>
            <w:tcBorders>
              <w:top w:val="single" w:sz="8" w:space="0" w:color="000000"/>
              <w:left w:val="single" w:sz="8" w:space="0" w:color="000000"/>
              <w:bottom w:val="single" w:sz="6" w:space="0" w:color="000000"/>
              <w:right w:val="single" w:sz="8" w:space="0" w:color="000000"/>
            </w:tcBorders>
            <w:hideMark/>
          </w:tcPr>
          <w:p w:rsidR="00810556" w:rsidRDefault="00810556">
            <w:pPr>
              <w:pStyle w:val="biaogeleft"/>
              <w:wordWrap w:val="0"/>
              <w:rPr>
                <w:sz w:val="21"/>
                <w:szCs w:val="21"/>
              </w:rPr>
            </w:pPr>
            <w:r>
              <w:rPr>
                <w:rFonts w:hAnsi="等线" w:hint="eastAsia"/>
                <w:color w:val="000000"/>
                <w:sz w:val="21"/>
                <w:szCs w:val="21"/>
              </w:rPr>
              <w:t>中欧中证A50指数A</w:t>
            </w:r>
          </w:p>
        </w:tc>
        <w:tc>
          <w:tcPr>
            <w:tcW w:w="1276"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rPr>
                <w:sz w:val="21"/>
                <w:szCs w:val="21"/>
              </w:rPr>
            </w:pPr>
            <w:r>
              <w:rPr>
                <w:rFonts w:hAnsi="等线" w:hint="eastAsia"/>
                <w:color w:val="000000"/>
                <w:sz w:val="21"/>
                <w:szCs w:val="21"/>
              </w:rPr>
              <w:t>基金代码A</w:t>
            </w:r>
          </w:p>
        </w:tc>
        <w:tc>
          <w:tcPr>
            <w:tcW w:w="2551" w:type="dxa"/>
            <w:tcBorders>
              <w:top w:val="single" w:sz="8" w:space="0" w:color="000000"/>
              <w:left w:val="single" w:sz="8" w:space="0" w:color="000000"/>
              <w:bottom w:val="single" w:sz="6" w:space="0" w:color="000000"/>
              <w:right w:val="single" w:sz="8" w:space="0" w:color="000000"/>
            </w:tcBorders>
            <w:hideMark/>
          </w:tcPr>
          <w:p w:rsidR="00810556" w:rsidRDefault="00801015" w:rsidP="00801015">
            <w:pPr>
              <w:pStyle w:val="biaogeleft"/>
              <w:wordWrap w:val="0"/>
              <w:ind w:left="0"/>
              <w:rPr>
                <w:sz w:val="21"/>
                <w:szCs w:val="21"/>
              </w:rPr>
            </w:pPr>
            <w:r>
              <w:rPr>
                <w:sz w:val="21"/>
                <w:szCs w:val="21"/>
              </w:rPr>
              <w:t>021889</w:t>
            </w:r>
          </w:p>
        </w:tc>
      </w:tr>
      <w:tr w:rsidR="00810556" w:rsidTr="00810556">
        <w:tc>
          <w:tcPr>
            <w:tcW w:w="1862"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rPr>
                <w:sz w:val="21"/>
                <w:szCs w:val="21"/>
              </w:rPr>
            </w:pPr>
            <w:r>
              <w:rPr>
                <w:rFonts w:hAnsi="等线" w:hint="eastAsia"/>
                <w:color w:val="000000"/>
                <w:sz w:val="21"/>
                <w:szCs w:val="21"/>
              </w:rPr>
              <w:t>基金简称C</w:t>
            </w:r>
          </w:p>
        </w:tc>
        <w:tc>
          <w:tcPr>
            <w:tcW w:w="3407" w:type="dxa"/>
            <w:tcBorders>
              <w:top w:val="single" w:sz="8" w:space="0" w:color="000000"/>
              <w:left w:val="single" w:sz="8" w:space="0" w:color="000000"/>
              <w:bottom w:val="single" w:sz="6" w:space="0" w:color="000000"/>
              <w:right w:val="single" w:sz="8" w:space="0" w:color="000000"/>
            </w:tcBorders>
            <w:hideMark/>
          </w:tcPr>
          <w:p w:rsidR="00810556" w:rsidRDefault="00810556">
            <w:pPr>
              <w:pStyle w:val="biaogeleft"/>
              <w:wordWrap w:val="0"/>
              <w:rPr>
                <w:sz w:val="21"/>
                <w:szCs w:val="21"/>
              </w:rPr>
            </w:pPr>
            <w:r>
              <w:rPr>
                <w:rFonts w:hAnsi="等线" w:hint="eastAsia"/>
                <w:color w:val="000000"/>
                <w:sz w:val="21"/>
                <w:szCs w:val="21"/>
              </w:rPr>
              <w:t>中欧中证A50指数C</w:t>
            </w:r>
          </w:p>
        </w:tc>
        <w:tc>
          <w:tcPr>
            <w:tcW w:w="1276"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rPr>
                <w:sz w:val="21"/>
                <w:szCs w:val="21"/>
              </w:rPr>
            </w:pPr>
            <w:r>
              <w:rPr>
                <w:rFonts w:hAnsi="等线" w:hint="eastAsia"/>
                <w:color w:val="000000"/>
                <w:sz w:val="21"/>
                <w:szCs w:val="21"/>
              </w:rPr>
              <w:t>基金代码C</w:t>
            </w:r>
          </w:p>
        </w:tc>
        <w:tc>
          <w:tcPr>
            <w:tcW w:w="2551" w:type="dxa"/>
            <w:tcBorders>
              <w:top w:val="single" w:sz="8" w:space="0" w:color="000000"/>
              <w:left w:val="single" w:sz="8" w:space="0" w:color="000000"/>
              <w:bottom w:val="single" w:sz="6" w:space="0" w:color="000000"/>
              <w:right w:val="single" w:sz="8" w:space="0" w:color="000000"/>
            </w:tcBorders>
            <w:hideMark/>
          </w:tcPr>
          <w:p w:rsidR="00810556" w:rsidRDefault="00801015" w:rsidP="00801015">
            <w:pPr>
              <w:pStyle w:val="biaogeleft"/>
              <w:wordWrap w:val="0"/>
              <w:ind w:left="0"/>
              <w:rPr>
                <w:sz w:val="21"/>
                <w:szCs w:val="21"/>
              </w:rPr>
            </w:pPr>
            <w:r>
              <w:rPr>
                <w:sz w:val="21"/>
                <w:szCs w:val="21"/>
              </w:rPr>
              <w:t>021890</w:t>
            </w:r>
          </w:p>
        </w:tc>
      </w:tr>
      <w:tr w:rsidR="00810556" w:rsidTr="00810556">
        <w:tc>
          <w:tcPr>
            <w:tcW w:w="1862"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rPr>
                <w:sz w:val="21"/>
                <w:szCs w:val="21"/>
              </w:rPr>
            </w:pPr>
            <w:r>
              <w:rPr>
                <w:rFonts w:hAnsi="等线" w:hint="eastAsia"/>
                <w:color w:val="000000"/>
                <w:sz w:val="21"/>
                <w:szCs w:val="21"/>
              </w:rPr>
              <w:t>基金管理人</w:t>
            </w:r>
          </w:p>
        </w:tc>
        <w:tc>
          <w:tcPr>
            <w:tcW w:w="3407"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rPr>
                <w:sz w:val="21"/>
                <w:szCs w:val="21"/>
              </w:rPr>
            </w:pPr>
            <w:r>
              <w:rPr>
                <w:rFonts w:hAnsi="等线" w:hint="eastAsia"/>
                <w:color w:val="000000"/>
                <w:sz w:val="21"/>
                <w:szCs w:val="21"/>
              </w:rPr>
              <w:t>中欧基金管理有限公司</w:t>
            </w:r>
          </w:p>
        </w:tc>
        <w:tc>
          <w:tcPr>
            <w:tcW w:w="1276"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rPr>
                <w:sz w:val="21"/>
                <w:szCs w:val="21"/>
              </w:rPr>
            </w:pPr>
            <w:r>
              <w:rPr>
                <w:rFonts w:hAnsi="等线" w:hint="eastAsia"/>
                <w:color w:val="000000"/>
                <w:sz w:val="21"/>
                <w:szCs w:val="21"/>
              </w:rPr>
              <w:t>基金托管人</w:t>
            </w:r>
          </w:p>
        </w:tc>
        <w:tc>
          <w:tcPr>
            <w:tcW w:w="2551"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rPr>
                <w:sz w:val="21"/>
                <w:szCs w:val="21"/>
              </w:rPr>
            </w:pPr>
            <w:r>
              <w:rPr>
                <w:rFonts w:hAnsi="等线" w:hint="eastAsia"/>
                <w:color w:val="000000"/>
                <w:sz w:val="21"/>
                <w:szCs w:val="21"/>
              </w:rPr>
              <w:t>宁波银行股份有限公司</w:t>
            </w:r>
          </w:p>
        </w:tc>
      </w:tr>
      <w:tr w:rsidR="00810556" w:rsidTr="00810556">
        <w:tc>
          <w:tcPr>
            <w:tcW w:w="1862"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rPr>
                <w:sz w:val="21"/>
                <w:szCs w:val="21"/>
              </w:rPr>
            </w:pPr>
            <w:r>
              <w:rPr>
                <w:rFonts w:hAnsi="等线" w:hint="eastAsia"/>
                <w:color w:val="000000"/>
                <w:sz w:val="21"/>
                <w:szCs w:val="21"/>
              </w:rPr>
              <w:t>基金合同生效日</w:t>
            </w:r>
          </w:p>
        </w:tc>
        <w:tc>
          <w:tcPr>
            <w:tcW w:w="3407"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rPr>
                <w:sz w:val="21"/>
                <w:szCs w:val="21"/>
              </w:rPr>
            </w:pPr>
            <w:r>
              <w:rPr>
                <w:rFonts w:hint="eastAsia"/>
                <w:sz w:val="21"/>
                <w:szCs w:val="21"/>
              </w:rPr>
              <w:t>-</w:t>
            </w:r>
          </w:p>
        </w:tc>
        <w:tc>
          <w:tcPr>
            <w:tcW w:w="1276"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rPr>
                <w:sz w:val="21"/>
                <w:szCs w:val="21"/>
              </w:rPr>
            </w:pPr>
            <w:r>
              <w:rPr>
                <w:rFonts w:hAnsi="等线" w:hint="eastAsia"/>
                <w:color w:val="000000"/>
                <w:sz w:val="21"/>
                <w:szCs w:val="21"/>
              </w:rPr>
              <w:t>上市交易所及上市日期</w:t>
            </w:r>
          </w:p>
        </w:tc>
        <w:tc>
          <w:tcPr>
            <w:tcW w:w="2551"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rPr>
                <w:sz w:val="21"/>
                <w:szCs w:val="21"/>
              </w:rPr>
            </w:pPr>
            <w:r>
              <w:rPr>
                <w:rFonts w:hAnsi="等线" w:hint="eastAsia"/>
                <w:color w:val="000000"/>
                <w:sz w:val="21"/>
                <w:szCs w:val="21"/>
              </w:rPr>
              <w:t>暂未上市</w:t>
            </w:r>
          </w:p>
        </w:tc>
      </w:tr>
      <w:tr w:rsidR="00810556" w:rsidTr="00810556">
        <w:tc>
          <w:tcPr>
            <w:tcW w:w="1862"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rPr>
                <w:sz w:val="21"/>
                <w:szCs w:val="21"/>
              </w:rPr>
            </w:pPr>
            <w:r>
              <w:rPr>
                <w:rFonts w:hAnsi="等线" w:hint="eastAsia"/>
                <w:color w:val="000000"/>
                <w:sz w:val="21"/>
                <w:szCs w:val="21"/>
              </w:rPr>
              <w:t>基金类型</w:t>
            </w:r>
          </w:p>
        </w:tc>
        <w:tc>
          <w:tcPr>
            <w:tcW w:w="3407"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rPr>
                <w:sz w:val="21"/>
                <w:szCs w:val="21"/>
              </w:rPr>
            </w:pPr>
            <w:r>
              <w:rPr>
                <w:rFonts w:hAnsi="等线" w:hint="eastAsia"/>
                <w:color w:val="000000"/>
                <w:sz w:val="21"/>
                <w:szCs w:val="21"/>
              </w:rPr>
              <w:t>股票型</w:t>
            </w:r>
          </w:p>
        </w:tc>
        <w:tc>
          <w:tcPr>
            <w:tcW w:w="1276"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rPr>
                <w:sz w:val="21"/>
                <w:szCs w:val="21"/>
              </w:rPr>
            </w:pPr>
            <w:r>
              <w:rPr>
                <w:rFonts w:hAnsi="等线" w:hint="eastAsia"/>
                <w:color w:val="000000"/>
                <w:sz w:val="21"/>
                <w:szCs w:val="21"/>
              </w:rPr>
              <w:t>交易币种</w:t>
            </w:r>
          </w:p>
        </w:tc>
        <w:tc>
          <w:tcPr>
            <w:tcW w:w="2551"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rPr>
                <w:sz w:val="21"/>
                <w:szCs w:val="21"/>
              </w:rPr>
            </w:pPr>
            <w:r>
              <w:rPr>
                <w:rFonts w:hAnsi="等线" w:hint="eastAsia"/>
                <w:color w:val="000000"/>
                <w:sz w:val="21"/>
                <w:szCs w:val="21"/>
              </w:rPr>
              <w:t>人民币</w:t>
            </w:r>
          </w:p>
        </w:tc>
      </w:tr>
      <w:tr w:rsidR="00810556" w:rsidTr="00810556">
        <w:tc>
          <w:tcPr>
            <w:tcW w:w="1862"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rPr>
                <w:sz w:val="21"/>
                <w:szCs w:val="21"/>
              </w:rPr>
            </w:pPr>
            <w:r>
              <w:rPr>
                <w:rFonts w:hAnsi="等线" w:hint="eastAsia"/>
                <w:color w:val="000000"/>
                <w:sz w:val="21"/>
                <w:szCs w:val="21"/>
              </w:rPr>
              <w:t>运作方式</w:t>
            </w:r>
          </w:p>
        </w:tc>
        <w:tc>
          <w:tcPr>
            <w:tcW w:w="3407"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rPr>
                <w:sz w:val="21"/>
                <w:szCs w:val="21"/>
              </w:rPr>
            </w:pPr>
            <w:r>
              <w:rPr>
                <w:rFonts w:hint="eastAsia"/>
                <w:sz w:val="21"/>
                <w:szCs w:val="21"/>
              </w:rPr>
              <w:t>普通开放式</w:t>
            </w:r>
          </w:p>
        </w:tc>
        <w:tc>
          <w:tcPr>
            <w:tcW w:w="1276"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rPr>
                <w:sz w:val="21"/>
                <w:szCs w:val="21"/>
              </w:rPr>
            </w:pPr>
            <w:r>
              <w:rPr>
                <w:rFonts w:hAnsi="等线" w:hint="eastAsia"/>
                <w:color w:val="000000"/>
                <w:sz w:val="21"/>
                <w:szCs w:val="21"/>
              </w:rPr>
              <w:t>开放频率</w:t>
            </w:r>
          </w:p>
        </w:tc>
        <w:tc>
          <w:tcPr>
            <w:tcW w:w="2551"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rPr>
                <w:sz w:val="21"/>
                <w:szCs w:val="21"/>
              </w:rPr>
            </w:pPr>
            <w:r>
              <w:rPr>
                <w:rFonts w:hint="eastAsia"/>
                <w:sz w:val="21"/>
                <w:szCs w:val="21"/>
              </w:rPr>
              <w:t>每日开放</w:t>
            </w:r>
          </w:p>
        </w:tc>
      </w:tr>
      <w:tr w:rsidR="00810556" w:rsidTr="00810556">
        <w:tc>
          <w:tcPr>
            <w:tcW w:w="1862"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rPr>
                <w:sz w:val="21"/>
                <w:szCs w:val="21"/>
              </w:rPr>
            </w:pPr>
            <w:r>
              <w:rPr>
                <w:rFonts w:hAnsi="等线" w:hint="eastAsia"/>
                <w:color w:val="000000"/>
                <w:sz w:val="21"/>
                <w:szCs w:val="21"/>
              </w:rPr>
              <w:t>基金经理</w:t>
            </w:r>
          </w:p>
        </w:tc>
        <w:tc>
          <w:tcPr>
            <w:tcW w:w="4683" w:type="dxa"/>
            <w:gridSpan w:val="2"/>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rPr>
                <w:sz w:val="21"/>
                <w:szCs w:val="21"/>
              </w:rPr>
            </w:pPr>
            <w:r>
              <w:rPr>
                <w:rFonts w:hAnsi="等线" w:hint="eastAsia"/>
                <w:color w:val="000000"/>
                <w:sz w:val="21"/>
                <w:szCs w:val="21"/>
              </w:rPr>
              <w:t>开始担任本基金基金经理的日期</w:t>
            </w:r>
          </w:p>
        </w:tc>
        <w:tc>
          <w:tcPr>
            <w:tcW w:w="2551"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rPr>
                <w:sz w:val="21"/>
                <w:szCs w:val="21"/>
              </w:rPr>
            </w:pPr>
            <w:r>
              <w:rPr>
                <w:rFonts w:hAnsi="等线" w:hint="eastAsia"/>
                <w:color w:val="000000"/>
                <w:sz w:val="21"/>
                <w:szCs w:val="21"/>
              </w:rPr>
              <w:t xml:space="preserve">证券从业日期 </w:t>
            </w:r>
          </w:p>
        </w:tc>
      </w:tr>
      <w:tr w:rsidR="00810556" w:rsidTr="00810556">
        <w:tc>
          <w:tcPr>
            <w:tcW w:w="1862" w:type="dxa"/>
            <w:tcBorders>
              <w:top w:val="single" w:sz="8" w:space="0" w:color="000000"/>
              <w:left w:val="single" w:sz="8" w:space="0" w:color="000000"/>
              <w:bottom w:val="single" w:sz="8" w:space="0" w:color="000000"/>
              <w:right w:val="single" w:sz="8" w:space="0" w:color="000000"/>
            </w:tcBorders>
            <w:vAlign w:val="center"/>
            <w:hideMark/>
          </w:tcPr>
          <w:p w:rsidR="00810556" w:rsidRDefault="00810556">
            <w:pPr>
              <w:pStyle w:val="biaogeleft"/>
              <w:wordWrap w:val="0"/>
              <w:rPr>
                <w:sz w:val="21"/>
                <w:szCs w:val="21"/>
              </w:rPr>
            </w:pPr>
            <w:r>
              <w:rPr>
                <w:rFonts w:hint="eastAsia"/>
                <w:sz w:val="21"/>
                <w:szCs w:val="21"/>
              </w:rPr>
              <w:t>宋巍巍</w:t>
            </w:r>
          </w:p>
        </w:tc>
        <w:tc>
          <w:tcPr>
            <w:tcW w:w="4683" w:type="dxa"/>
            <w:gridSpan w:val="2"/>
            <w:tcBorders>
              <w:top w:val="single" w:sz="8" w:space="0" w:color="000000"/>
              <w:left w:val="single" w:sz="8" w:space="0" w:color="000000"/>
              <w:bottom w:val="single" w:sz="8" w:space="0" w:color="000000"/>
              <w:right w:val="single" w:sz="8" w:space="0" w:color="000000"/>
            </w:tcBorders>
            <w:vAlign w:val="center"/>
            <w:hideMark/>
          </w:tcPr>
          <w:p w:rsidR="00810556" w:rsidRDefault="00810556">
            <w:pPr>
              <w:rPr>
                <w:szCs w:val="21"/>
              </w:rPr>
            </w:pPr>
            <w:r>
              <w:rPr>
                <w:szCs w:val="21"/>
              </w:rPr>
              <w:t>-</w:t>
            </w:r>
          </w:p>
        </w:tc>
        <w:tc>
          <w:tcPr>
            <w:tcW w:w="2551" w:type="dxa"/>
            <w:tcBorders>
              <w:top w:val="single" w:sz="8" w:space="0" w:color="000000"/>
              <w:left w:val="single" w:sz="8" w:space="0" w:color="000000"/>
              <w:bottom w:val="single" w:sz="8" w:space="0" w:color="000000"/>
              <w:right w:val="single" w:sz="8" w:space="0" w:color="000000"/>
            </w:tcBorders>
            <w:vAlign w:val="center"/>
            <w:hideMark/>
          </w:tcPr>
          <w:p w:rsidR="00810556" w:rsidRDefault="00810556">
            <w:pPr>
              <w:pStyle w:val="biaogeleft"/>
              <w:wordWrap w:val="0"/>
              <w:rPr>
                <w:sz w:val="21"/>
                <w:szCs w:val="21"/>
              </w:rPr>
            </w:pPr>
            <w:r>
              <w:rPr>
                <w:rFonts w:hint="eastAsia"/>
                <w:sz w:val="21"/>
                <w:szCs w:val="21"/>
              </w:rPr>
              <w:t>2016年07月21日</w:t>
            </w:r>
          </w:p>
        </w:tc>
      </w:tr>
      <w:tr w:rsidR="00810556" w:rsidTr="00810556">
        <w:tc>
          <w:tcPr>
            <w:tcW w:w="1862"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rPr>
                <w:sz w:val="21"/>
                <w:szCs w:val="21"/>
              </w:rPr>
            </w:pPr>
            <w:r>
              <w:rPr>
                <w:rFonts w:hint="eastAsia"/>
                <w:sz w:val="21"/>
                <w:szCs w:val="21"/>
              </w:rPr>
              <w:t>其他</w:t>
            </w:r>
          </w:p>
        </w:tc>
        <w:tc>
          <w:tcPr>
            <w:tcW w:w="7234" w:type="dxa"/>
            <w:gridSpan w:val="3"/>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rPr>
                <w:rFonts w:hAnsi="等线"/>
                <w:bCs/>
                <w:color w:val="000000"/>
                <w:sz w:val="21"/>
                <w:szCs w:val="21"/>
              </w:rPr>
            </w:pPr>
            <w:r>
              <w:rPr>
                <w:rFonts w:hAnsi="等线" w:hint="eastAsia"/>
                <w:bCs/>
                <w:color w:val="000000"/>
                <w:sz w:val="21"/>
                <w:szCs w:val="21"/>
              </w:rPr>
              <w:t>未来若出现标的指数不符合要求（因成份股价格波动等指数编制方法变动之外的因素致使标的指数不符合要求以及法律法规、监管机构另有规定的情形除外）、指数编制机构退出等情形，基金管理人应当自该情形发生之日起十个工作日内向中国证监会报告并提出解决方案，如更换基金标的指数、转换运作方式、与其他基金合并或者终止基金合同等，并在6个月内召集基金份额持有人大会进行表决，基金份额持有人大会未成功召开或就上述事项表决未通过的，基金合同终止。</w:t>
            </w:r>
          </w:p>
          <w:p w:rsidR="00810556" w:rsidRDefault="00810556">
            <w:pPr>
              <w:pStyle w:val="biaogeleft"/>
              <w:wordWrap w:val="0"/>
              <w:rPr>
                <w:rFonts w:hAnsi="等线"/>
                <w:color w:val="000000"/>
                <w:sz w:val="21"/>
                <w:szCs w:val="21"/>
              </w:rPr>
            </w:pPr>
            <w:r>
              <w:rPr>
                <w:rFonts w:hAnsi="等线" w:hint="eastAsia"/>
                <w:color w:val="000000"/>
                <w:sz w:val="21"/>
                <w:szCs w:val="21"/>
              </w:rPr>
              <w:t>若基金管理人注册并成立追踪标的指数的交易型开放式指数基金（ETF），在不改变本基金投资目标的前提下，本基金可变更为该ETF的联接基金。该联接基金将其绝大部分基金财产投资于跟踪同一标的指数的ETF，紧密跟踪标的指数表现，追求跟踪偏离度和跟踪误差的最小化。以上变更需经基金管理人和基金托管人协商一致后修改基金合同，但不需召开基金份额持有人大会审议。</w:t>
            </w:r>
          </w:p>
        </w:tc>
      </w:tr>
    </w:tbl>
    <w:p w:rsidR="00810556" w:rsidRDefault="00810556" w:rsidP="00810556">
      <w:pPr>
        <w:spacing w:line="288" w:lineRule="auto"/>
        <w:rPr>
          <w:rFonts w:hAnsi="等线"/>
          <w:color w:val="000000"/>
          <w:szCs w:val="21"/>
        </w:rPr>
      </w:pPr>
    </w:p>
    <w:p w:rsidR="00810556" w:rsidRDefault="00810556" w:rsidP="00810556">
      <w:pPr>
        <w:pStyle w:val="zhangjiep"/>
        <w:rPr>
          <w:rFonts w:hAnsi="等线"/>
          <w:color w:val="000000"/>
          <w:sz w:val="21"/>
          <w:szCs w:val="21"/>
        </w:rPr>
      </w:pPr>
      <w:r>
        <w:rPr>
          <w:rFonts w:hAnsi="等线" w:hint="eastAsia"/>
          <w:b/>
          <w:color w:val="000000"/>
          <w:sz w:val="21"/>
          <w:szCs w:val="21"/>
        </w:rPr>
        <w:t>二、 基金投资与净值表现</w:t>
      </w:r>
    </w:p>
    <w:p w:rsidR="00810556" w:rsidRDefault="00810556" w:rsidP="00810556">
      <w:pPr>
        <w:pStyle w:val="zhangjiep"/>
        <w:rPr>
          <w:rFonts w:hAnsi="等线"/>
          <w:color w:val="000000"/>
          <w:sz w:val="21"/>
          <w:szCs w:val="21"/>
        </w:rPr>
      </w:pPr>
      <w:r>
        <w:rPr>
          <w:rFonts w:hAnsi="等线" w:hint="eastAsia"/>
          <w:b/>
          <w:color w:val="000000"/>
          <w:sz w:val="21"/>
          <w:szCs w:val="21"/>
        </w:rPr>
        <w:lastRenderedPageBreak/>
        <w:t xml:space="preserve">（一）投资目标与投资策略 </w:t>
      </w:r>
    </w:p>
    <w:p w:rsidR="00810556" w:rsidRDefault="00810556" w:rsidP="00810556">
      <w:pPr>
        <w:pStyle w:val="neirong"/>
        <w:spacing w:before="0"/>
        <w:ind w:left="0" w:firstLine="480"/>
        <w:rPr>
          <w:rFonts w:hAnsi="等线"/>
          <w:color w:val="000000"/>
          <w:sz w:val="21"/>
          <w:szCs w:val="21"/>
        </w:rPr>
      </w:pPr>
      <w:r>
        <w:rPr>
          <w:rFonts w:hAnsi="等线" w:hint="eastAsia"/>
          <w:color w:val="000000"/>
          <w:sz w:val="21"/>
          <w:szCs w:val="21"/>
        </w:rPr>
        <w:t>请投资者阅读《招募说明书》"基金的投资"章节了解详细情况</w:t>
      </w:r>
    </w:p>
    <w:tbl>
      <w:tblPr>
        <w:tblW w:w="9045" w:type="dxa"/>
        <w:tblInd w:w="108" w:type="dxa"/>
        <w:tblLook w:val="04A0" w:firstRow="1" w:lastRow="0" w:firstColumn="1" w:lastColumn="0" w:noHBand="0" w:noVBand="1"/>
      </w:tblPr>
      <w:tblGrid>
        <w:gridCol w:w="1758"/>
        <w:gridCol w:w="7287"/>
      </w:tblGrid>
      <w:tr w:rsidR="00810556" w:rsidTr="00810556">
        <w:tc>
          <w:tcPr>
            <w:tcW w:w="1755"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pPr>
            <w:r>
              <w:rPr>
                <w:rFonts w:hAnsi="等线" w:hint="eastAsia"/>
                <w:color w:val="000000"/>
                <w:sz w:val="21"/>
                <w:szCs w:val="21"/>
              </w:rPr>
              <w:t>投资目标</w:t>
            </w:r>
          </w:p>
        </w:tc>
        <w:tc>
          <w:tcPr>
            <w:tcW w:w="7275"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neirong"/>
              <w:wordWrap w:val="0"/>
              <w:spacing w:before="0"/>
              <w:ind w:left="0" w:firstLineChars="200" w:firstLine="420"/>
              <w:rPr>
                <w:rFonts w:hAnsi="等线"/>
                <w:color w:val="000000"/>
                <w:sz w:val="21"/>
                <w:szCs w:val="21"/>
              </w:rPr>
            </w:pPr>
            <w:r>
              <w:rPr>
                <w:rFonts w:hAnsi="等线" w:hint="eastAsia"/>
                <w:color w:val="000000"/>
                <w:sz w:val="21"/>
                <w:szCs w:val="21"/>
              </w:rPr>
              <w:t>紧密跟踪业绩比较基准，追求跟踪偏离度和跟踪误差的最小化。</w:t>
            </w:r>
          </w:p>
        </w:tc>
      </w:tr>
      <w:tr w:rsidR="00810556" w:rsidTr="00810556">
        <w:tc>
          <w:tcPr>
            <w:tcW w:w="1755"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pPr>
            <w:r>
              <w:rPr>
                <w:rFonts w:hAnsi="等线" w:hint="eastAsia"/>
                <w:color w:val="000000"/>
                <w:sz w:val="21"/>
                <w:szCs w:val="21"/>
              </w:rPr>
              <w:t>投资范围</w:t>
            </w:r>
          </w:p>
        </w:tc>
        <w:tc>
          <w:tcPr>
            <w:tcW w:w="7275"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neirong"/>
              <w:wordWrap w:val="0"/>
              <w:ind w:firstLine="480"/>
              <w:rPr>
                <w:rFonts w:hAnsi="等线"/>
                <w:color w:val="000000"/>
                <w:sz w:val="21"/>
                <w:szCs w:val="21"/>
              </w:rPr>
            </w:pPr>
            <w:r>
              <w:rPr>
                <w:rFonts w:hAnsi="等线" w:hint="eastAsia"/>
                <w:color w:val="000000"/>
                <w:sz w:val="21"/>
                <w:szCs w:val="21"/>
              </w:rPr>
              <w:t>本基金的标的指数为中证A50指数。</w:t>
            </w:r>
          </w:p>
          <w:p w:rsidR="00810556" w:rsidRDefault="00810556">
            <w:pPr>
              <w:pStyle w:val="neirong"/>
              <w:wordWrap w:val="0"/>
              <w:ind w:firstLine="480"/>
              <w:rPr>
                <w:rFonts w:hAnsi="等线"/>
                <w:color w:val="000000"/>
                <w:sz w:val="21"/>
                <w:szCs w:val="21"/>
              </w:rPr>
            </w:pPr>
            <w:r>
              <w:rPr>
                <w:rFonts w:hAnsi="等线" w:hint="eastAsia"/>
                <w:color w:val="000000"/>
                <w:sz w:val="21"/>
                <w:szCs w:val="21"/>
              </w:rPr>
              <w:t>本基金的投资范围包括标的指数成份股及备选成份股（含存托凭证，下同）、除标的指数成份股及备选成份股以外的其他股票（包括创业板、科创板以及其他经中国证监会允许发行上市的股票）、存托凭证、港股通标的股票、债券（包括国债、地方政府债、政府支持机构债、金融债、企业债、公司债、央行票据、中期票据、短期融资券、超短期融资券、可转换债券、可交换债券、公开发行的次级债、分离交易可转债等）、资产支持证券、债券回购、银行存款、同业存单、现金、衍生工具（包括国债期货、股指期货、股票期权）、以及法律法规或中国证监会允许基金投资的其他金融工具（但须符合中国证监会的相关规定）。</w:t>
            </w:r>
          </w:p>
          <w:p w:rsidR="00810556" w:rsidRDefault="00810556">
            <w:pPr>
              <w:pStyle w:val="neirong"/>
              <w:wordWrap w:val="0"/>
              <w:ind w:firstLine="480"/>
              <w:rPr>
                <w:rFonts w:hAnsi="等线"/>
                <w:color w:val="000000"/>
                <w:sz w:val="21"/>
                <w:szCs w:val="21"/>
              </w:rPr>
            </w:pPr>
            <w:r>
              <w:rPr>
                <w:rFonts w:hAnsi="等线" w:hint="eastAsia"/>
                <w:color w:val="000000"/>
                <w:sz w:val="21"/>
                <w:szCs w:val="21"/>
              </w:rPr>
              <w:t>本基金可根据法律法规的规定参与融资、转融通证券出借业务。</w:t>
            </w:r>
          </w:p>
          <w:p w:rsidR="00810556" w:rsidRDefault="00810556">
            <w:pPr>
              <w:pStyle w:val="neirong"/>
              <w:wordWrap w:val="0"/>
              <w:ind w:firstLine="480"/>
              <w:rPr>
                <w:rFonts w:hAnsi="等线"/>
                <w:color w:val="000000"/>
                <w:sz w:val="21"/>
                <w:szCs w:val="21"/>
              </w:rPr>
            </w:pPr>
            <w:r>
              <w:rPr>
                <w:rFonts w:hAnsi="等线" w:hint="eastAsia"/>
                <w:color w:val="000000"/>
                <w:sz w:val="21"/>
                <w:szCs w:val="21"/>
              </w:rPr>
              <w:t>如法律法规或监管机构以后允许基金投资其他品种，基金管理人在履行适当程序后，可以将其纳入投资范围。</w:t>
            </w:r>
          </w:p>
          <w:p w:rsidR="00810556" w:rsidRDefault="00810556">
            <w:pPr>
              <w:pStyle w:val="neirong"/>
              <w:wordWrap w:val="0"/>
              <w:ind w:firstLine="480"/>
              <w:rPr>
                <w:rFonts w:hAnsi="等线"/>
                <w:color w:val="000000"/>
                <w:sz w:val="21"/>
                <w:szCs w:val="21"/>
              </w:rPr>
            </w:pPr>
            <w:r>
              <w:rPr>
                <w:rFonts w:hAnsi="等线" w:hint="eastAsia"/>
                <w:color w:val="000000"/>
                <w:sz w:val="21"/>
                <w:szCs w:val="21"/>
              </w:rPr>
              <w:t>基金的投资组合比例为：</w:t>
            </w:r>
          </w:p>
          <w:p w:rsidR="00810556" w:rsidRDefault="00810556">
            <w:pPr>
              <w:pStyle w:val="neirong"/>
              <w:wordWrap w:val="0"/>
              <w:ind w:firstLine="480"/>
              <w:rPr>
                <w:rFonts w:hAnsi="等线"/>
                <w:color w:val="000000"/>
                <w:sz w:val="21"/>
                <w:szCs w:val="21"/>
              </w:rPr>
            </w:pPr>
            <w:r>
              <w:rPr>
                <w:rFonts w:hAnsi="等线" w:hint="eastAsia"/>
                <w:color w:val="000000"/>
                <w:sz w:val="21"/>
                <w:szCs w:val="21"/>
              </w:rPr>
              <w:t>本基金投资于标的指数成份股及备选成份股的资产不低于非现金资产的80%且不低于基金资产净值的90%，投资港股通标的股票的比例不超过本基金股票资产的10%；每个交易日日终，在扣除股指期货、国债期货和股票期权合约需缴纳的交易保证金后，本基金应当保持不低于基金资产净值5%的现金（不包括结算备付金、存出保证金、应收申购款等）或到期日在一年以内的政府债券。</w:t>
            </w:r>
          </w:p>
          <w:p w:rsidR="00810556" w:rsidRDefault="00810556">
            <w:pPr>
              <w:pStyle w:val="neirong"/>
              <w:wordWrap w:val="0"/>
              <w:ind w:firstLine="480"/>
              <w:rPr>
                <w:rFonts w:hAnsi="等线"/>
                <w:color w:val="000000"/>
                <w:sz w:val="21"/>
                <w:szCs w:val="21"/>
              </w:rPr>
            </w:pPr>
            <w:r>
              <w:rPr>
                <w:rFonts w:hAnsi="等线" w:hint="eastAsia"/>
                <w:color w:val="000000"/>
                <w:sz w:val="21"/>
                <w:szCs w:val="21"/>
              </w:rPr>
              <w:t>如果法律法规或中国证监会变更投资品种的投资比例限制，基金管理人在履行适当程序后，可以调整上述投资品种的投资比例。</w:t>
            </w:r>
          </w:p>
        </w:tc>
      </w:tr>
      <w:tr w:rsidR="00810556" w:rsidTr="00810556">
        <w:tc>
          <w:tcPr>
            <w:tcW w:w="1755"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pPr>
            <w:r>
              <w:rPr>
                <w:rFonts w:hAnsi="等线" w:hint="eastAsia"/>
                <w:color w:val="000000"/>
                <w:sz w:val="21"/>
                <w:szCs w:val="21"/>
              </w:rPr>
              <w:t>主要投资策略</w:t>
            </w:r>
          </w:p>
        </w:tc>
        <w:tc>
          <w:tcPr>
            <w:tcW w:w="7275"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neirong"/>
              <w:wordWrap w:val="0"/>
              <w:ind w:firstLine="480"/>
              <w:rPr>
                <w:rFonts w:hAnsi="等线"/>
                <w:bCs/>
                <w:color w:val="000000"/>
                <w:sz w:val="21"/>
                <w:szCs w:val="21"/>
              </w:rPr>
            </w:pPr>
            <w:r>
              <w:rPr>
                <w:rFonts w:hAnsi="等线" w:hint="eastAsia"/>
                <w:bCs/>
                <w:color w:val="000000"/>
                <w:sz w:val="21"/>
                <w:szCs w:val="21"/>
              </w:rPr>
              <w:t>1、资产配置策略</w:t>
            </w:r>
          </w:p>
          <w:p w:rsidR="00810556" w:rsidRDefault="00810556">
            <w:pPr>
              <w:pStyle w:val="neirong"/>
              <w:wordWrap w:val="0"/>
              <w:ind w:firstLine="480"/>
              <w:rPr>
                <w:rFonts w:hAnsi="等线"/>
                <w:bCs/>
                <w:color w:val="000000"/>
                <w:sz w:val="21"/>
                <w:szCs w:val="21"/>
              </w:rPr>
            </w:pPr>
            <w:r>
              <w:rPr>
                <w:rFonts w:hAnsi="等线" w:hint="eastAsia"/>
                <w:bCs/>
                <w:color w:val="000000"/>
                <w:sz w:val="21"/>
                <w:szCs w:val="21"/>
              </w:rPr>
              <w:t>本基金投资于标的指数成份股及备选成份股的资产不低于非现金资产的80%且不低于基金资产净值的90%，投资港股通标的股票的比例不超过本基金股票资产的10%；每个交易日日终，在扣除股指期货、国债期货和股票期权合约需缴纳的交易保证金后，本基金应当保持不低于基金资产净值5%的现金（不包括结算备付金、存出保证金、应收申购款等）或者到期日在一年以内的政府债券。基金管理人将综合考虑市场情况、基金资产的流动性要求及投资比例限制等因素，确定股票、债券等资产的具体配置比例。</w:t>
            </w:r>
          </w:p>
          <w:p w:rsidR="00810556" w:rsidRDefault="00810556">
            <w:pPr>
              <w:pStyle w:val="neirong"/>
              <w:wordWrap w:val="0"/>
              <w:ind w:firstLine="480"/>
              <w:rPr>
                <w:rFonts w:hAnsi="等线"/>
                <w:bCs/>
                <w:color w:val="000000"/>
                <w:sz w:val="21"/>
                <w:szCs w:val="21"/>
              </w:rPr>
            </w:pPr>
            <w:r>
              <w:rPr>
                <w:rFonts w:hAnsi="等线" w:hint="eastAsia"/>
                <w:bCs/>
                <w:color w:val="000000"/>
                <w:sz w:val="21"/>
                <w:szCs w:val="21"/>
              </w:rPr>
              <w:t>本基金力争将日均跟踪偏离度的绝对值控制在0.35%以内，年化跟踪误差控制在4%以内。如因标的指数编制规则调整或其他因素导致跟踪偏离度和</w:t>
            </w:r>
            <w:r>
              <w:rPr>
                <w:rFonts w:hAnsi="等线" w:hint="eastAsia"/>
                <w:bCs/>
                <w:color w:val="000000"/>
                <w:sz w:val="21"/>
                <w:szCs w:val="21"/>
              </w:rPr>
              <w:lastRenderedPageBreak/>
              <w:t>跟踪误差超过上述范围，基金管理人应采取合理措施避免跟踪偏离度和跟踪误差进一步扩大。</w:t>
            </w:r>
          </w:p>
          <w:p w:rsidR="00810556" w:rsidRDefault="00810556">
            <w:pPr>
              <w:pStyle w:val="neirong"/>
              <w:wordWrap w:val="0"/>
              <w:ind w:firstLine="480"/>
              <w:rPr>
                <w:rFonts w:hAnsi="等线"/>
                <w:bCs/>
                <w:color w:val="000000"/>
                <w:sz w:val="21"/>
                <w:szCs w:val="21"/>
              </w:rPr>
            </w:pPr>
            <w:r>
              <w:rPr>
                <w:rFonts w:hAnsi="等线" w:hint="eastAsia"/>
                <w:bCs/>
                <w:color w:val="000000"/>
                <w:sz w:val="21"/>
                <w:szCs w:val="21"/>
              </w:rPr>
              <w:t>本基金运作过程中，当标的指数成份股发生明显负面事件面临退市风险，且指数编制机构暂未作出调整的，基金管理人应当按照基金份额持有人利益优先的原则，履行内部决策程序后及时对相关成份股进行调整。</w:t>
            </w:r>
          </w:p>
          <w:p w:rsidR="00810556" w:rsidRDefault="00810556">
            <w:pPr>
              <w:pStyle w:val="neirong"/>
              <w:wordWrap w:val="0"/>
              <w:ind w:firstLine="480"/>
              <w:rPr>
                <w:rFonts w:hAnsi="等线"/>
                <w:bCs/>
                <w:color w:val="000000"/>
                <w:sz w:val="21"/>
                <w:szCs w:val="21"/>
              </w:rPr>
            </w:pPr>
            <w:r>
              <w:rPr>
                <w:rFonts w:hAnsi="等线" w:hint="eastAsia"/>
                <w:bCs/>
                <w:color w:val="000000"/>
                <w:sz w:val="21"/>
                <w:szCs w:val="21"/>
              </w:rPr>
              <w:t>2、股票投资策略</w:t>
            </w:r>
          </w:p>
          <w:p w:rsidR="00810556" w:rsidRDefault="00810556">
            <w:pPr>
              <w:pStyle w:val="neirong"/>
              <w:wordWrap w:val="0"/>
              <w:ind w:firstLine="480"/>
              <w:rPr>
                <w:rFonts w:hAnsi="等线"/>
                <w:bCs/>
                <w:color w:val="000000"/>
                <w:sz w:val="21"/>
                <w:szCs w:val="21"/>
              </w:rPr>
            </w:pPr>
            <w:r>
              <w:rPr>
                <w:rFonts w:hAnsi="等线" w:hint="eastAsia"/>
                <w:bCs/>
                <w:color w:val="000000"/>
                <w:sz w:val="21"/>
                <w:szCs w:val="21"/>
              </w:rPr>
              <w:t>本基金主要采取完全复制法，即完全按照标的指数的成份股组成及其权重构建基金股票投资组合，并根据标的指数成份股及其权重的变动进行相应调整。但在因特殊情形导致基金无法完全投资于标的指数成份股时，基金管理人可采取包括成份股替代策略在内的其他指数投资技术适当调整基金投资组合，以达到紧密跟踪标的指数的目的。特殊情形包括但不限于：（1）法律法规的限制；（2）标的指数成份股流动性严重不足；（3）标的指数的成份股票长期停牌；（4）标的指数成份股进行配股、增发或被吸收合并；（5）标的指数成份股派发现金股息；（6）指数成份股定期或临时调整；（7）标的指数编制方法发生变化；（8）其他基金管理人认定不适合投资的股票或可能严重限制本基金跟踪标的指数的合理原因等。</w:t>
            </w:r>
          </w:p>
          <w:p w:rsidR="00810556" w:rsidRDefault="00810556">
            <w:pPr>
              <w:pStyle w:val="neirong"/>
              <w:wordWrap w:val="0"/>
              <w:ind w:firstLine="480"/>
              <w:rPr>
                <w:rFonts w:hAnsi="等线"/>
                <w:bCs/>
                <w:color w:val="000000"/>
                <w:sz w:val="21"/>
                <w:szCs w:val="21"/>
              </w:rPr>
            </w:pPr>
            <w:r>
              <w:rPr>
                <w:rFonts w:hAnsi="等线" w:hint="eastAsia"/>
                <w:bCs/>
                <w:color w:val="000000"/>
                <w:sz w:val="21"/>
                <w:szCs w:val="21"/>
              </w:rPr>
              <w:t>3、港股通标的股票投资策略</w:t>
            </w:r>
          </w:p>
          <w:p w:rsidR="00810556" w:rsidRDefault="00810556">
            <w:pPr>
              <w:pStyle w:val="neirong"/>
              <w:wordWrap w:val="0"/>
              <w:ind w:firstLine="480"/>
              <w:rPr>
                <w:rFonts w:hAnsi="等线"/>
                <w:bCs/>
                <w:color w:val="000000"/>
                <w:sz w:val="21"/>
                <w:szCs w:val="21"/>
              </w:rPr>
            </w:pPr>
            <w:r>
              <w:rPr>
                <w:rFonts w:hAnsi="等线" w:hint="eastAsia"/>
                <w:bCs/>
                <w:color w:val="000000"/>
                <w:sz w:val="21"/>
                <w:szCs w:val="21"/>
              </w:rPr>
              <w:t>在特殊情况下，本基金将少量投资于港股通标的股票以进行替代复制。对于同时有A股、H股的指数成份公司，如果该公司A股长期停牌，组合无法买入该股票时，可以买入该公司H股进行替代。</w:t>
            </w:r>
          </w:p>
        </w:tc>
      </w:tr>
      <w:tr w:rsidR="00810556" w:rsidTr="00810556">
        <w:tc>
          <w:tcPr>
            <w:tcW w:w="1755"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pPr>
            <w:r>
              <w:rPr>
                <w:rFonts w:hAnsi="等线" w:hint="eastAsia"/>
                <w:color w:val="000000"/>
                <w:sz w:val="21"/>
                <w:szCs w:val="21"/>
              </w:rPr>
              <w:lastRenderedPageBreak/>
              <w:t>业绩比较基准</w:t>
            </w:r>
          </w:p>
        </w:tc>
        <w:tc>
          <w:tcPr>
            <w:tcW w:w="7275"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neirong"/>
              <w:wordWrap w:val="0"/>
              <w:ind w:firstLine="480"/>
              <w:rPr>
                <w:rFonts w:hAnsi="等线"/>
                <w:bCs/>
                <w:color w:val="000000"/>
                <w:sz w:val="21"/>
                <w:szCs w:val="21"/>
              </w:rPr>
            </w:pPr>
            <w:r>
              <w:rPr>
                <w:rFonts w:hAnsi="等线" w:hint="eastAsia"/>
                <w:bCs/>
                <w:color w:val="000000"/>
                <w:sz w:val="21"/>
                <w:szCs w:val="21"/>
              </w:rPr>
              <w:t>中证A50指数收益率×95%+银行活期存款利率（税后）×5%</w:t>
            </w:r>
          </w:p>
        </w:tc>
      </w:tr>
      <w:tr w:rsidR="00810556" w:rsidTr="00810556">
        <w:tc>
          <w:tcPr>
            <w:tcW w:w="1755"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pPr>
            <w:r>
              <w:rPr>
                <w:rFonts w:hAnsi="等线" w:hint="eastAsia"/>
                <w:color w:val="000000"/>
                <w:sz w:val="21"/>
                <w:szCs w:val="21"/>
              </w:rPr>
              <w:t>风险收益特征</w:t>
            </w:r>
          </w:p>
        </w:tc>
        <w:tc>
          <w:tcPr>
            <w:tcW w:w="7275" w:type="dxa"/>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neirong"/>
              <w:wordWrap w:val="0"/>
              <w:ind w:firstLine="480"/>
              <w:rPr>
                <w:rFonts w:hAnsi="等线"/>
                <w:bCs/>
                <w:color w:val="000000"/>
                <w:sz w:val="21"/>
                <w:szCs w:val="21"/>
              </w:rPr>
            </w:pPr>
            <w:r>
              <w:rPr>
                <w:rFonts w:hAnsi="等线" w:hint="eastAsia"/>
                <w:bCs/>
                <w:color w:val="000000"/>
                <w:sz w:val="21"/>
                <w:szCs w:val="21"/>
              </w:rPr>
              <w:t>本基金属于股票型基金，其预期收益及预期风险水平高于混合型基金、债券型基金与货币市场基金。本基金为指数基金，主要采用完全复制法跟踪标的指数的表现，具有与标的指数相似的风险收益特征。</w:t>
            </w:r>
          </w:p>
          <w:p w:rsidR="00810556" w:rsidRDefault="00810556">
            <w:pPr>
              <w:pStyle w:val="neirong"/>
              <w:wordWrap w:val="0"/>
              <w:ind w:firstLine="480"/>
              <w:rPr>
                <w:rFonts w:hAnsi="等线"/>
                <w:bCs/>
                <w:color w:val="000000"/>
                <w:sz w:val="21"/>
                <w:szCs w:val="21"/>
              </w:rPr>
            </w:pPr>
            <w:r>
              <w:rPr>
                <w:rFonts w:hAnsi="等线" w:hint="eastAsia"/>
                <w:bCs/>
                <w:color w:val="000000"/>
                <w:sz w:val="21"/>
                <w:szCs w:val="21"/>
              </w:rPr>
              <w:t>本基金如果投资港股通标的股票，还可能面临港股通机制下因投资环境、投资标的、市场制度以及交易规则等差异带来的特有风险。</w:t>
            </w:r>
          </w:p>
        </w:tc>
      </w:tr>
    </w:tbl>
    <w:p w:rsidR="00810556" w:rsidRDefault="00810556" w:rsidP="00810556">
      <w:pPr>
        <w:spacing w:line="288" w:lineRule="auto"/>
        <w:rPr>
          <w:rFonts w:hAnsi="等线"/>
          <w:color w:val="000000"/>
          <w:szCs w:val="21"/>
        </w:rPr>
      </w:pPr>
    </w:p>
    <w:p w:rsidR="00810556" w:rsidRDefault="00810556" w:rsidP="00810556">
      <w:pPr>
        <w:pStyle w:val="zhangjiep"/>
        <w:rPr>
          <w:rFonts w:hAnsi="等线"/>
          <w:color w:val="000000"/>
          <w:sz w:val="21"/>
          <w:szCs w:val="21"/>
        </w:rPr>
      </w:pPr>
      <w:r>
        <w:rPr>
          <w:rFonts w:hAnsi="等线" w:hint="eastAsia"/>
          <w:b/>
          <w:color w:val="000000"/>
          <w:sz w:val="21"/>
          <w:szCs w:val="21"/>
        </w:rPr>
        <w:t>三、 投资本基金涉及的费用</w:t>
      </w:r>
    </w:p>
    <w:p w:rsidR="00810556" w:rsidRDefault="00810556" w:rsidP="00810556">
      <w:pPr>
        <w:pStyle w:val="zhangjiep"/>
        <w:rPr>
          <w:rFonts w:hAnsi="等线"/>
          <w:color w:val="000000"/>
          <w:sz w:val="21"/>
          <w:szCs w:val="21"/>
        </w:rPr>
      </w:pPr>
      <w:r>
        <w:rPr>
          <w:rFonts w:hAnsi="等线" w:hint="eastAsia"/>
          <w:b/>
          <w:color w:val="000000"/>
          <w:sz w:val="21"/>
          <w:szCs w:val="21"/>
        </w:rPr>
        <w:t xml:space="preserve">（一）基金销售相关费用 </w:t>
      </w:r>
    </w:p>
    <w:p w:rsidR="00810556" w:rsidRDefault="00810556" w:rsidP="00810556">
      <w:pPr>
        <w:pStyle w:val="biaogeleft"/>
        <w:rPr>
          <w:rFonts w:hAnsi="等线"/>
          <w:color w:val="000000"/>
          <w:sz w:val="21"/>
          <w:szCs w:val="21"/>
        </w:rPr>
      </w:pPr>
      <w:r>
        <w:rPr>
          <w:rFonts w:hAnsi="等线" w:hint="eastAsia"/>
          <w:color w:val="000000"/>
          <w:sz w:val="21"/>
          <w:szCs w:val="21"/>
        </w:rPr>
        <w:t xml:space="preserve">以下费用在认购／申购／赎回基金过程中收取： </w:t>
      </w:r>
    </w:p>
    <w:p w:rsidR="00810556" w:rsidRDefault="00810556" w:rsidP="00810556">
      <w:pPr>
        <w:pStyle w:val="biaogeleft"/>
        <w:rPr>
          <w:rFonts w:hAnsi="等线"/>
          <w:color w:val="000000"/>
          <w:sz w:val="21"/>
          <w:szCs w:val="21"/>
        </w:rPr>
      </w:pPr>
      <w:r>
        <w:rPr>
          <w:rFonts w:hAnsi="等线" w:hint="eastAsia"/>
          <w:color w:val="000000"/>
          <w:sz w:val="21"/>
          <w:szCs w:val="21"/>
        </w:rPr>
        <w:t>中欧中证A50指数A</w:t>
      </w:r>
    </w:p>
    <w:tbl>
      <w:tblPr>
        <w:tblW w:w="9045" w:type="dxa"/>
        <w:tblInd w:w="108" w:type="dxa"/>
        <w:tblLook w:val="04A0" w:firstRow="1" w:lastRow="0" w:firstColumn="1" w:lastColumn="0" w:noHBand="0" w:noVBand="1"/>
      </w:tblPr>
      <w:tblGrid>
        <w:gridCol w:w="1356"/>
        <w:gridCol w:w="4523"/>
        <w:gridCol w:w="1809"/>
        <w:gridCol w:w="1357"/>
      </w:tblGrid>
      <w:tr w:rsidR="00810556" w:rsidTr="00810556">
        <w:tc>
          <w:tcPr>
            <w:tcW w:w="750" w:type="pct"/>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pPr>
            <w:r>
              <w:rPr>
                <w:rFonts w:hAnsi="等线" w:hint="eastAsia"/>
                <w:color w:val="000000"/>
                <w:sz w:val="21"/>
                <w:szCs w:val="21"/>
              </w:rPr>
              <w:t>费用类型</w:t>
            </w:r>
          </w:p>
        </w:tc>
        <w:tc>
          <w:tcPr>
            <w:tcW w:w="2500" w:type="pct"/>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pPr>
            <w:r>
              <w:rPr>
                <w:rFonts w:hAnsi="等线" w:hint="eastAsia"/>
                <w:color w:val="000000"/>
                <w:sz w:val="21"/>
                <w:szCs w:val="21"/>
              </w:rPr>
              <w:t>份额（S）或金额（M）/持有期限（N）</w:t>
            </w:r>
          </w:p>
        </w:tc>
        <w:tc>
          <w:tcPr>
            <w:tcW w:w="1000" w:type="pct"/>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pPr>
            <w:r>
              <w:rPr>
                <w:rFonts w:hAnsi="等线" w:hint="eastAsia"/>
                <w:color w:val="000000"/>
                <w:sz w:val="21"/>
                <w:szCs w:val="21"/>
              </w:rPr>
              <w:t>收费方式/费率</w:t>
            </w:r>
          </w:p>
        </w:tc>
        <w:tc>
          <w:tcPr>
            <w:tcW w:w="750" w:type="pct"/>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pPr>
            <w:r>
              <w:rPr>
                <w:rFonts w:hAnsi="等线" w:hint="eastAsia"/>
                <w:color w:val="000000"/>
                <w:sz w:val="21"/>
                <w:szCs w:val="21"/>
              </w:rPr>
              <w:t>备注</w:t>
            </w:r>
          </w:p>
        </w:tc>
      </w:tr>
      <w:tr w:rsidR="00810556" w:rsidTr="00810556">
        <w:tc>
          <w:tcPr>
            <w:tcW w:w="750" w:type="pct"/>
            <w:vMerge w:val="restart"/>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pPr>
            <w:r>
              <w:rPr>
                <w:rFonts w:hAnsi="等线" w:hint="eastAsia"/>
                <w:color w:val="000000"/>
                <w:sz w:val="21"/>
                <w:szCs w:val="21"/>
              </w:rPr>
              <w:t>认购费</w:t>
            </w:r>
          </w:p>
        </w:tc>
        <w:tc>
          <w:tcPr>
            <w:tcW w:w="2500" w:type="pct"/>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pPr>
            <w:r>
              <w:rPr>
                <w:rFonts w:hAnsi="等线" w:hint="eastAsia"/>
                <w:color w:val="000000"/>
                <w:sz w:val="21"/>
                <w:szCs w:val="21"/>
              </w:rPr>
              <w:t>M&lt;500万元</w:t>
            </w:r>
          </w:p>
        </w:tc>
        <w:tc>
          <w:tcPr>
            <w:tcW w:w="1000" w:type="pct"/>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pPr>
            <w:r>
              <w:rPr>
                <w:rFonts w:hAnsi="等线" w:hint="eastAsia"/>
                <w:color w:val="000000"/>
                <w:sz w:val="21"/>
                <w:szCs w:val="21"/>
              </w:rPr>
              <w:t>0.80%</w:t>
            </w:r>
          </w:p>
        </w:tc>
        <w:tc>
          <w:tcPr>
            <w:tcW w:w="750" w:type="pct"/>
            <w:tcBorders>
              <w:top w:val="single" w:sz="8" w:space="0" w:color="000000"/>
              <w:left w:val="single" w:sz="8" w:space="0" w:color="000000"/>
              <w:bottom w:val="single" w:sz="6" w:space="0" w:color="000000"/>
              <w:right w:val="single" w:sz="8" w:space="0" w:color="000000"/>
            </w:tcBorders>
            <w:vAlign w:val="center"/>
          </w:tcPr>
          <w:p w:rsidR="00810556" w:rsidRDefault="00810556">
            <w:pPr>
              <w:pStyle w:val="biaogeleft"/>
              <w:wordWrap w:val="0"/>
            </w:pPr>
          </w:p>
        </w:tc>
      </w:tr>
      <w:tr w:rsidR="00810556" w:rsidTr="00810556">
        <w:tc>
          <w:tcPr>
            <w:tcW w:w="0" w:type="auto"/>
            <w:vMerge/>
            <w:tcBorders>
              <w:top w:val="single" w:sz="8" w:space="0" w:color="000000"/>
              <w:left w:val="single" w:sz="8" w:space="0" w:color="000000"/>
              <w:bottom w:val="single" w:sz="6" w:space="0" w:color="000000"/>
              <w:right w:val="single" w:sz="8" w:space="0" w:color="000000"/>
            </w:tcBorders>
            <w:vAlign w:val="center"/>
            <w:hideMark/>
          </w:tcPr>
          <w:p w:rsidR="00810556" w:rsidRDefault="00810556">
            <w:pPr>
              <w:widowControl/>
              <w:jc w:val="left"/>
              <w:rPr>
                <w:rFonts w:ascii="宋体" w:hAnsi="宋体" w:cs="宋体"/>
                <w:kern w:val="0"/>
                <w:sz w:val="24"/>
                <w:szCs w:val="24"/>
              </w:rPr>
            </w:pPr>
          </w:p>
        </w:tc>
        <w:tc>
          <w:tcPr>
            <w:tcW w:w="2500" w:type="pct"/>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pPr>
            <w:r>
              <w:rPr>
                <w:rFonts w:hAnsi="等线" w:hint="eastAsia"/>
                <w:color w:val="000000"/>
                <w:sz w:val="21"/>
                <w:szCs w:val="21"/>
              </w:rPr>
              <w:t>500万元≤M</w:t>
            </w:r>
          </w:p>
        </w:tc>
        <w:tc>
          <w:tcPr>
            <w:tcW w:w="1000" w:type="pct"/>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pPr>
            <w:r>
              <w:rPr>
                <w:rFonts w:hAnsi="等线" w:hint="eastAsia"/>
                <w:color w:val="000000"/>
                <w:sz w:val="21"/>
                <w:szCs w:val="21"/>
              </w:rPr>
              <w:t>1000.00元/笔</w:t>
            </w:r>
          </w:p>
        </w:tc>
        <w:tc>
          <w:tcPr>
            <w:tcW w:w="750" w:type="pct"/>
            <w:tcBorders>
              <w:top w:val="single" w:sz="8" w:space="0" w:color="000000"/>
              <w:left w:val="single" w:sz="8" w:space="0" w:color="000000"/>
              <w:bottom w:val="single" w:sz="6" w:space="0" w:color="000000"/>
              <w:right w:val="single" w:sz="8" w:space="0" w:color="000000"/>
            </w:tcBorders>
            <w:vAlign w:val="center"/>
          </w:tcPr>
          <w:p w:rsidR="00810556" w:rsidRDefault="00810556">
            <w:pPr>
              <w:pStyle w:val="biaogeleft"/>
              <w:wordWrap w:val="0"/>
              <w:rPr>
                <w:rFonts w:hAnsi="等线"/>
                <w:color w:val="000000"/>
                <w:sz w:val="21"/>
                <w:szCs w:val="21"/>
              </w:rPr>
            </w:pPr>
          </w:p>
        </w:tc>
      </w:tr>
      <w:tr w:rsidR="00810556" w:rsidTr="00810556">
        <w:tc>
          <w:tcPr>
            <w:tcW w:w="750" w:type="pct"/>
            <w:vMerge w:val="restart"/>
            <w:tcBorders>
              <w:top w:val="single" w:sz="8" w:space="0" w:color="000000"/>
              <w:left w:val="single" w:sz="8" w:space="0" w:color="000000"/>
              <w:bottom w:val="single" w:sz="8" w:space="0" w:color="000000"/>
              <w:right w:val="single" w:sz="8" w:space="0" w:color="000000"/>
            </w:tcBorders>
            <w:vAlign w:val="center"/>
            <w:hideMark/>
          </w:tcPr>
          <w:p w:rsidR="00810556" w:rsidRDefault="00810556">
            <w:pPr>
              <w:pStyle w:val="biaogeleft"/>
              <w:wordWrap w:val="0"/>
            </w:pPr>
            <w:r>
              <w:rPr>
                <w:rFonts w:hAnsi="等线" w:hint="eastAsia"/>
                <w:color w:val="000000"/>
                <w:sz w:val="21"/>
                <w:szCs w:val="21"/>
              </w:rPr>
              <w:t>申购费（前收费）</w:t>
            </w:r>
          </w:p>
        </w:tc>
        <w:tc>
          <w:tcPr>
            <w:tcW w:w="2500" w:type="pct"/>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pPr>
            <w:r>
              <w:rPr>
                <w:rFonts w:hAnsi="等线" w:hint="eastAsia"/>
                <w:color w:val="000000"/>
                <w:sz w:val="21"/>
                <w:szCs w:val="21"/>
              </w:rPr>
              <w:t>M&lt;500万元</w:t>
            </w:r>
          </w:p>
        </w:tc>
        <w:tc>
          <w:tcPr>
            <w:tcW w:w="1000" w:type="pct"/>
            <w:tcBorders>
              <w:top w:val="single" w:sz="8" w:space="0" w:color="000000"/>
              <w:left w:val="single" w:sz="8" w:space="0" w:color="000000"/>
              <w:bottom w:val="single" w:sz="6" w:space="0" w:color="000000"/>
              <w:right w:val="single" w:sz="8" w:space="0" w:color="000000"/>
            </w:tcBorders>
            <w:vAlign w:val="center"/>
            <w:hideMark/>
          </w:tcPr>
          <w:p w:rsidR="00810556" w:rsidRDefault="00810556">
            <w:pPr>
              <w:pStyle w:val="biaogeleft"/>
              <w:wordWrap w:val="0"/>
            </w:pPr>
            <w:r>
              <w:rPr>
                <w:rFonts w:hAnsi="等线" w:hint="eastAsia"/>
                <w:color w:val="000000"/>
                <w:sz w:val="21"/>
                <w:szCs w:val="21"/>
              </w:rPr>
              <w:t>1.00%</w:t>
            </w:r>
          </w:p>
        </w:tc>
        <w:tc>
          <w:tcPr>
            <w:tcW w:w="750" w:type="pct"/>
            <w:tcBorders>
              <w:top w:val="single" w:sz="8" w:space="0" w:color="000000"/>
              <w:left w:val="single" w:sz="8" w:space="0" w:color="000000"/>
              <w:bottom w:val="single" w:sz="6" w:space="0" w:color="000000"/>
              <w:right w:val="single" w:sz="8" w:space="0" w:color="000000"/>
            </w:tcBorders>
            <w:vAlign w:val="center"/>
          </w:tcPr>
          <w:p w:rsidR="00810556" w:rsidRDefault="00810556">
            <w:pPr>
              <w:pStyle w:val="biaogeleft"/>
              <w:wordWrap w:val="0"/>
              <w:rPr>
                <w:rFonts w:hAnsi="等线"/>
                <w:color w:val="000000"/>
                <w:sz w:val="21"/>
                <w:szCs w:val="21"/>
              </w:rPr>
            </w:pPr>
          </w:p>
        </w:tc>
      </w:tr>
      <w:tr w:rsidR="00810556" w:rsidTr="0081055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810556" w:rsidRDefault="00810556">
            <w:pPr>
              <w:widowControl/>
              <w:jc w:val="left"/>
              <w:rPr>
                <w:rFonts w:ascii="宋体" w:hAnsi="宋体" w:cs="宋体"/>
                <w:kern w:val="0"/>
                <w:sz w:val="24"/>
                <w:szCs w:val="24"/>
              </w:rPr>
            </w:pPr>
          </w:p>
        </w:tc>
        <w:tc>
          <w:tcPr>
            <w:tcW w:w="2500" w:type="pct"/>
            <w:tcBorders>
              <w:top w:val="single" w:sz="8" w:space="0" w:color="000000"/>
              <w:left w:val="single" w:sz="8" w:space="0" w:color="000000"/>
              <w:bottom w:val="single" w:sz="8" w:space="0" w:color="000000"/>
              <w:right w:val="single" w:sz="8" w:space="0" w:color="000000"/>
            </w:tcBorders>
            <w:vAlign w:val="center"/>
            <w:hideMark/>
          </w:tcPr>
          <w:p w:rsidR="00810556" w:rsidRDefault="00810556">
            <w:pPr>
              <w:pStyle w:val="biaogeleft"/>
              <w:wordWrap w:val="0"/>
            </w:pPr>
            <w:r>
              <w:rPr>
                <w:rFonts w:hAnsi="等线" w:hint="eastAsia"/>
                <w:color w:val="000000"/>
                <w:sz w:val="21"/>
                <w:szCs w:val="21"/>
              </w:rPr>
              <w:t>500万元≤M</w:t>
            </w:r>
          </w:p>
        </w:tc>
        <w:tc>
          <w:tcPr>
            <w:tcW w:w="1000" w:type="pct"/>
            <w:tcBorders>
              <w:top w:val="single" w:sz="8" w:space="0" w:color="000000"/>
              <w:left w:val="single" w:sz="8" w:space="0" w:color="000000"/>
              <w:bottom w:val="single" w:sz="8" w:space="0" w:color="000000"/>
              <w:right w:val="single" w:sz="8" w:space="0" w:color="000000"/>
            </w:tcBorders>
            <w:vAlign w:val="center"/>
            <w:hideMark/>
          </w:tcPr>
          <w:p w:rsidR="00810556" w:rsidRDefault="00810556">
            <w:pPr>
              <w:pStyle w:val="biaogeleft"/>
              <w:wordWrap w:val="0"/>
            </w:pPr>
            <w:r>
              <w:rPr>
                <w:rFonts w:hAnsi="等线" w:hint="eastAsia"/>
                <w:color w:val="000000"/>
                <w:sz w:val="21"/>
                <w:szCs w:val="21"/>
              </w:rPr>
              <w:t>1000.00元/笔</w:t>
            </w:r>
          </w:p>
        </w:tc>
        <w:tc>
          <w:tcPr>
            <w:tcW w:w="750" w:type="pct"/>
            <w:tcBorders>
              <w:top w:val="single" w:sz="8" w:space="0" w:color="000000"/>
              <w:left w:val="single" w:sz="8" w:space="0" w:color="000000"/>
              <w:bottom w:val="single" w:sz="8" w:space="0" w:color="000000"/>
              <w:right w:val="single" w:sz="8" w:space="0" w:color="000000"/>
            </w:tcBorders>
            <w:vAlign w:val="center"/>
          </w:tcPr>
          <w:p w:rsidR="00810556" w:rsidRDefault="00810556">
            <w:pPr>
              <w:pStyle w:val="biaogeleft"/>
              <w:wordWrap w:val="0"/>
              <w:rPr>
                <w:rFonts w:hAnsi="等线"/>
                <w:color w:val="000000"/>
                <w:sz w:val="21"/>
                <w:szCs w:val="21"/>
              </w:rPr>
            </w:pPr>
          </w:p>
        </w:tc>
      </w:tr>
      <w:tr w:rsidR="00810556" w:rsidTr="00810556">
        <w:tc>
          <w:tcPr>
            <w:tcW w:w="0" w:type="auto"/>
            <w:vMerge w:val="restart"/>
            <w:tcBorders>
              <w:top w:val="single" w:sz="8" w:space="0" w:color="000000"/>
              <w:left w:val="single" w:sz="8" w:space="0" w:color="000000"/>
              <w:bottom w:val="single" w:sz="6" w:space="0" w:color="000000"/>
              <w:right w:val="single" w:sz="8" w:space="0" w:color="000000"/>
            </w:tcBorders>
            <w:vAlign w:val="center"/>
            <w:hideMark/>
          </w:tcPr>
          <w:p w:rsidR="00810556" w:rsidRDefault="00810556">
            <w:r>
              <w:rPr>
                <w:rFonts w:hint="eastAsia"/>
                <w:szCs w:val="21"/>
              </w:rPr>
              <w:lastRenderedPageBreak/>
              <w:t>赎回费</w:t>
            </w:r>
          </w:p>
        </w:tc>
        <w:tc>
          <w:tcPr>
            <w:tcW w:w="2500" w:type="pct"/>
            <w:tcBorders>
              <w:top w:val="single" w:sz="8" w:space="0" w:color="000000"/>
              <w:left w:val="single" w:sz="8" w:space="0" w:color="000000"/>
              <w:bottom w:val="single" w:sz="8" w:space="0" w:color="000000"/>
              <w:right w:val="single" w:sz="8" w:space="0" w:color="000000"/>
            </w:tcBorders>
            <w:hideMark/>
          </w:tcPr>
          <w:p w:rsidR="00810556" w:rsidRDefault="00810556">
            <w:pPr>
              <w:pStyle w:val="biaogeleft"/>
              <w:wordWrap w:val="0"/>
              <w:rPr>
                <w:rFonts w:hAnsi="等线"/>
                <w:color w:val="000000"/>
                <w:sz w:val="21"/>
                <w:szCs w:val="21"/>
              </w:rPr>
            </w:pPr>
            <w:r>
              <w:rPr>
                <w:rFonts w:hint="eastAsia"/>
                <w:sz w:val="21"/>
                <w:szCs w:val="21"/>
              </w:rPr>
              <w:t>N＜7日</w:t>
            </w:r>
          </w:p>
        </w:tc>
        <w:tc>
          <w:tcPr>
            <w:tcW w:w="1000" w:type="pct"/>
            <w:tcBorders>
              <w:top w:val="single" w:sz="8" w:space="0" w:color="000000"/>
              <w:left w:val="single" w:sz="8" w:space="0" w:color="000000"/>
              <w:bottom w:val="single" w:sz="8" w:space="0" w:color="000000"/>
              <w:right w:val="single" w:sz="8" w:space="0" w:color="000000"/>
            </w:tcBorders>
            <w:hideMark/>
          </w:tcPr>
          <w:p w:rsidR="00810556" w:rsidRDefault="00810556">
            <w:pPr>
              <w:pStyle w:val="biaogeleft"/>
              <w:wordWrap w:val="0"/>
              <w:rPr>
                <w:rFonts w:hAnsi="等线"/>
                <w:color w:val="000000"/>
                <w:sz w:val="21"/>
                <w:szCs w:val="21"/>
              </w:rPr>
            </w:pPr>
            <w:r>
              <w:rPr>
                <w:rFonts w:hint="eastAsia"/>
                <w:sz w:val="21"/>
                <w:szCs w:val="21"/>
              </w:rPr>
              <w:t>1.50%</w:t>
            </w:r>
          </w:p>
        </w:tc>
        <w:tc>
          <w:tcPr>
            <w:tcW w:w="750" w:type="pct"/>
            <w:tcBorders>
              <w:top w:val="single" w:sz="8" w:space="0" w:color="000000"/>
              <w:left w:val="single" w:sz="8" w:space="0" w:color="000000"/>
              <w:bottom w:val="single" w:sz="8" w:space="0" w:color="000000"/>
              <w:right w:val="single" w:sz="8" w:space="0" w:color="000000"/>
            </w:tcBorders>
          </w:tcPr>
          <w:p w:rsidR="00810556" w:rsidRDefault="00810556">
            <w:pPr>
              <w:pStyle w:val="biaogeleft"/>
              <w:wordWrap w:val="0"/>
              <w:rPr>
                <w:rFonts w:hAnsi="等线"/>
                <w:color w:val="000000"/>
                <w:sz w:val="21"/>
                <w:szCs w:val="21"/>
              </w:rPr>
            </w:pPr>
          </w:p>
        </w:tc>
      </w:tr>
      <w:tr w:rsidR="00810556" w:rsidTr="00810556">
        <w:tc>
          <w:tcPr>
            <w:tcW w:w="0" w:type="auto"/>
            <w:vMerge/>
            <w:tcBorders>
              <w:top w:val="single" w:sz="8" w:space="0" w:color="000000"/>
              <w:left w:val="single" w:sz="8" w:space="0" w:color="000000"/>
              <w:bottom w:val="single" w:sz="6" w:space="0" w:color="000000"/>
              <w:right w:val="single" w:sz="8" w:space="0" w:color="000000"/>
            </w:tcBorders>
            <w:vAlign w:val="center"/>
            <w:hideMark/>
          </w:tcPr>
          <w:p w:rsidR="00810556" w:rsidRDefault="00810556">
            <w:pPr>
              <w:widowControl/>
              <w:jc w:val="left"/>
            </w:pPr>
          </w:p>
        </w:tc>
        <w:tc>
          <w:tcPr>
            <w:tcW w:w="2500" w:type="pct"/>
            <w:tcBorders>
              <w:top w:val="single" w:sz="8" w:space="0" w:color="000000"/>
              <w:left w:val="single" w:sz="8" w:space="0" w:color="000000"/>
              <w:bottom w:val="single" w:sz="8" w:space="0" w:color="000000"/>
              <w:right w:val="single" w:sz="8" w:space="0" w:color="000000"/>
            </w:tcBorders>
            <w:vAlign w:val="center"/>
            <w:hideMark/>
          </w:tcPr>
          <w:p w:rsidR="00810556" w:rsidRDefault="00810556">
            <w:pPr>
              <w:pStyle w:val="biaogeleft"/>
              <w:wordWrap w:val="0"/>
              <w:rPr>
                <w:rFonts w:hAnsi="等线"/>
                <w:color w:val="000000"/>
                <w:sz w:val="21"/>
                <w:szCs w:val="21"/>
              </w:rPr>
            </w:pPr>
            <w:r>
              <w:rPr>
                <w:rFonts w:hint="eastAsia"/>
                <w:sz w:val="21"/>
                <w:szCs w:val="21"/>
              </w:rPr>
              <w:t>7</w:t>
            </w:r>
            <w:r>
              <w:rPr>
                <w:rFonts w:hint="eastAsia"/>
              </w:rPr>
              <w:t>日</w:t>
            </w:r>
            <w:r>
              <w:rPr>
                <w:rFonts w:hint="eastAsia"/>
                <w:sz w:val="21"/>
                <w:szCs w:val="21"/>
              </w:rPr>
              <w:t>≤N＜30</w:t>
            </w:r>
            <w:r>
              <w:rPr>
                <w:rFonts w:hint="eastAsia"/>
              </w:rPr>
              <w:t>日</w:t>
            </w:r>
          </w:p>
        </w:tc>
        <w:tc>
          <w:tcPr>
            <w:tcW w:w="1000" w:type="pct"/>
            <w:tcBorders>
              <w:top w:val="single" w:sz="8" w:space="0" w:color="000000"/>
              <w:left w:val="single" w:sz="8" w:space="0" w:color="000000"/>
              <w:bottom w:val="single" w:sz="8" w:space="0" w:color="000000"/>
              <w:right w:val="single" w:sz="8" w:space="0" w:color="000000"/>
            </w:tcBorders>
            <w:vAlign w:val="center"/>
            <w:hideMark/>
          </w:tcPr>
          <w:p w:rsidR="00810556" w:rsidRDefault="00810556">
            <w:pPr>
              <w:pStyle w:val="biaogeleft"/>
              <w:wordWrap w:val="0"/>
              <w:rPr>
                <w:rFonts w:hAnsi="等线"/>
                <w:color w:val="000000"/>
                <w:sz w:val="21"/>
                <w:szCs w:val="21"/>
              </w:rPr>
            </w:pPr>
            <w:r>
              <w:rPr>
                <w:rFonts w:hint="eastAsia"/>
                <w:sz w:val="21"/>
                <w:szCs w:val="21"/>
              </w:rPr>
              <w:t>0.30%</w:t>
            </w:r>
          </w:p>
        </w:tc>
        <w:tc>
          <w:tcPr>
            <w:tcW w:w="750" w:type="pct"/>
            <w:tcBorders>
              <w:top w:val="single" w:sz="8" w:space="0" w:color="000000"/>
              <w:left w:val="single" w:sz="8" w:space="0" w:color="000000"/>
              <w:bottom w:val="single" w:sz="8" w:space="0" w:color="000000"/>
              <w:right w:val="single" w:sz="8" w:space="0" w:color="000000"/>
            </w:tcBorders>
          </w:tcPr>
          <w:p w:rsidR="00810556" w:rsidRDefault="00810556">
            <w:pPr>
              <w:pStyle w:val="biaogeleft"/>
              <w:wordWrap w:val="0"/>
              <w:rPr>
                <w:rFonts w:hAnsi="等线"/>
                <w:color w:val="000000"/>
                <w:sz w:val="21"/>
                <w:szCs w:val="21"/>
              </w:rPr>
            </w:pPr>
          </w:p>
        </w:tc>
      </w:tr>
      <w:tr w:rsidR="00810556" w:rsidTr="00810556">
        <w:tc>
          <w:tcPr>
            <w:tcW w:w="0" w:type="auto"/>
            <w:vMerge/>
            <w:tcBorders>
              <w:top w:val="single" w:sz="8" w:space="0" w:color="000000"/>
              <w:left w:val="single" w:sz="8" w:space="0" w:color="000000"/>
              <w:bottom w:val="single" w:sz="6" w:space="0" w:color="000000"/>
              <w:right w:val="single" w:sz="8" w:space="0" w:color="000000"/>
            </w:tcBorders>
            <w:vAlign w:val="center"/>
            <w:hideMark/>
          </w:tcPr>
          <w:p w:rsidR="00810556" w:rsidRDefault="00810556">
            <w:pPr>
              <w:widowControl/>
              <w:jc w:val="left"/>
            </w:pPr>
          </w:p>
        </w:tc>
        <w:tc>
          <w:tcPr>
            <w:tcW w:w="2500" w:type="pct"/>
            <w:tcBorders>
              <w:top w:val="single" w:sz="8" w:space="0" w:color="000000"/>
              <w:left w:val="single" w:sz="8" w:space="0" w:color="000000"/>
              <w:bottom w:val="single" w:sz="6" w:space="0" w:color="000000"/>
              <w:right w:val="single" w:sz="8" w:space="0" w:color="000000"/>
            </w:tcBorders>
            <w:hideMark/>
          </w:tcPr>
          <w:p w:rsidR="00810556" w:rsidRDefault="00810556">
            <w:pPr>
              <w:pStyle w:val="biaogeleft"/>
              <w:wordWrap w:val="0"/>
              <w:rPr>
                <w:rFonts w:hAnsi="等线"/>
                <w:color w:val="000000"/>
                <w:sz w:val="21"/>
                <w:szCs w:val="21"/>
              </w:rPr>
            </w:pPr>
            <w:r>
              <w:rPr>
                <w:rFonts w:hint="eastAsia"/>
                <w:sz w:val="21"/>
                <w:szCs w:val="21"/>
              </w:rPr>
              <w:t>N≥30日</w:t>
            </w:r>
          </w:p>
        </w:tc>
        <w:tc>
          <w:tcPr>
            <w:tcW w:w="1000" w:type="pct"/>
            <w:tcBorders>
              <w:top w:val="single" w:sz="8" w:space="0" w:color="000000"/>
              <w:left w:val="single" w:sz="8" w:space="0" w:color="000000"/>
              <w:bottom w:val="single" w:sz="6" w:space="0" w:color="000000"/>
              <w:right w:val="single" w:sz="8" w:space="0" w:color="000000"/>
            </w:tcBorders>
            <w:hideMark/>
          </w:tcPr>
          <w:p w:rsidR="00810556" w:rsidRDefault="00810556">
            <w:pPr>
              <w:pStyle w:val="biaogeleft"/>
              <w:wordWrap w:val="0"/>
              <w:rPr>
                <w:rFonts w:hAnsi="等线"/>
                <w:color w:val="000000"/>
                <w:sz w:val="21"/>
                <w:szCs w:val="21"/>
              </w:rPr>
            </w:pPr>
            <w:r>
              <w:rPr>
                <w:rFonts w:hint="eastAsia"/>
                <w:sz w:val="21"/>
                <w:szCs w:val="21"/>
              </w:rPr>
              <w:t>0</w:t>
            </w:r>
          </w:p>
        </w:tc>
        <w:tc>
          <w:tcPr>
            <w:tcW w:w="750" w:type="pct"/>
            <w:tcBorders>
              <w:top w:val="single" w:sz="8" w:space="0" w:color="000000"/>
              <w:left w:val="single" w:sz="8" w:space="0" w:color="000000"/>
              <w:bottom w:val="single" w:sz="6" w:space="0" w:color="000000"/>
              <w:right w:val="single" w:sz="8" w:space="0" w:color="000000"/>
            </w:tcBorders>
          </w:tcPr>
          <w:p w:rsidR="00810556" w:rsidRDefault="00810556">
            <w:pPr>
              <w:pStyle w:val="biaogeleft"/>
              <w:wordWrap w:val="0"/>
              <w:rPr>
                <w:rFonts w:hAnsi="等线"/>
                <w:color w:val="000000"/>
                <w:sz w:val="21"/>
                <w:szCs w:val="21"/>
              </w:rPr>
            </w:pPr>
          </w:p>
        </w:tc>
      </w:tr>
    </w:tbl>
    <w:p w:rsidR="00810556" w:rsidRDefault="00810556" w:rsidP="00810556">
      <w:pPr>
        <w:pStyle w:val="biaogeleft"/>
        <w:rPr>
          <w:rFonts w:hAnsi="等线"/>
          <w:color w:val="000000"/>
          <w:sz w:val="21"/>
          <w:szCs w:val="21"/>
        </w:rPr>
      </w:pPr>
      <w:r>
        <w:rPr>
          <w:rFonts w:hAnsi="等线" w:hint="eastAsia"/>
          <w:color w:val="000000"/>
          <w:sz w:val="21"/>
          <w:szCs w:val="21"/>
        </w:rPr>
        <w:t>注：上表适用于投资者（通过基金管理人的直销中心认购/申购本基金A类基金份额的养老金客户除外）认购/申购A类基金份额的情形，通过基金管理人的直销中心认购/申购本基金A类基金份额的养老金客户费率适用情况详见本基金招募说明书及相关公告。</w:t>
      </w:r>
    </w:p>
    <w:p w:rsidR="00810556" w:rsidRDefault="00810556" w:rsidP="00810556">
      <w:pPr>
        <w:pStyle w:val="biaogeleft"/>
        <w:rPr>
          <w:rFonts w:hAnsi="等线"/>
          <w:color w:val="000000"/>
          <w:sz w:val="21"/>
          <w:szCs w:val="21"/>
        </w:rPr>
      </w:pPr>
    </w:p>
    <w:p w:rsidR="00810556" w:rsidRDefault="00810556" w:rsidP="00810556">
      <w:pPr>
        <w:pStyle w:val="biaogeleft"/>
        <w:wordWrap w:val="0"/>
        <w:rPr>
          <w:sz w:val="21"/>
          <w:szCs w:val="21"/>
        </w:rPr>
      </w:pPr>
      <w:r>
        <w:rPr>
          <w:rFonts w:hint="eastAsia"/>
          <w:sz w:val="21"/>
          <w:szCs w:val="21"/>
        </w:rPr>
        <w:t>中欧中证A50指数C</w:t>
      </w:r>
    </w:p>
    <w:tbl>
      <w:tblPr>
        <w:tblStyle w:val="a3"/>
        <w:tblW w:w="0" w:type="auto"/>
        <w:tblInd w:w="1" w:type="dxa"/>
        <w:tblLayout w:type="fixed"/>
        <w:tblLook w:val="04A0" w:firstRow="1" w:lastRow="0" w:firstColumn="1" w:lastColumn="0" w:noHBand="0" w:noVBand="1"/>
      </w:tblPr>
      <w:tblGrid>
        <w:gridCol w:w="2893"/>
        <w:gridCol w:w="2893"/>
        <w:gridCol w:w="1719"/>
        <w:gridCol w:w="1719"/>
      </w:tblGrid>
      <w:tr w:rsidR="00810556" w:rsidTr="00810556">
        <w:trPr>
          <w:trHeight w:val="321"/>
        </w:trPr>
        <w:tc>
          <w:tcPr>
            <w:tcW w:w="28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0556" w:rsidRDefault="00810556">
            <w:pPr>
              <w:pStyle w:val="biaogeleft"/>
              <w:rPr>
                <w:sz w:val="21"/>
                <w:szCs w:val="21"/>
              </w:rPr>
            </w:pPr>
            <w:r>
              <w:rPr>
                <w:rFonts w:hint="eastAsia"/>
                <w:sz w:val="21"/>
                <w:szCs w:val="21"/>
              </w:rPr>
              <w:t>费用类型</w:t>
            </w:r>
          </w:p>
        </w:tc>
        <w:tc>
          <w:tcPr>
            <w:tcW w:w="28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0556" w:rsidRDefault="00810556">
            <w:pPr>
              <w:pStyle w:val="biaogeleft"/>
              <w:wordWrap w:val="0"/>
              <w:rPr>
                <w:sz w:val="21"/>
                <w:szCs w:val="21"/>
              </w:rPr>
            </w:pPr>
            <w:r>
              <w:rPr>
                <w:rFonts w:hint="eastAsia"/>
                <w:sz w:val="21"/>
                <w:szCs w:val="21"/>
              </w:rPr>
              <w:t>持有期限（N）</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0556" w:rsidRDefault="00810556">
            <w:pPr>
              <w:pStyle w:val="biaogeleft"/>
              <w:wordWrap w:val="0"/>
              <w:rPr>
                <w:sz w:val="21"/>
                <w:szCs w:val="21"/>
              </w:rPr>
            </w:pPr>
            <w:r>
              <w:rPr>
                <w:rFonts w:hint="eastAsia"/>
                <w:sz w:val="21"/>
                <w:szCs w:val="21"/>
              </w:rPr>
              <w:t>费率</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0556" w:rsidRDefault="00810556">
            <w:pPr>
              <w:pStyle w:val="biaogeleft"/>
              <w:wordWrap w:val="0"/>
              <w:rPr>
                <w:sz w:val="21"/>
                <w:szCs w:val="21"/>
              </w:rPr>
            </w:pPr>
            <w:r>
              <w:rPr>
                <w:rFonts w:hAnsi="等线" w:hint="eastAsia"/>
                <w:color w:val="000000"/>
                <w:sz w:val="21"/>
                <w:szCs w:val="21"/>
              </w:rPr>
              <w:t>备注</w:t>
            </w:r>
          </w:p>
        </w:tc>
      </w:tr>
      <w:tr w:rsidR="00810556" w:rsidTr="00810556">
        <w:trPr>
          <w:trHeight w:val="321"/>
        </w:trPr>
        <w:tc>
          <w:tcPr>
            <w:tcW w:w="289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10556" w:rsidRDefault="00810556">
            <w:pPr>
              <w:pStyle w:val="biaogeleft"/>
              <w:wordWrap w:val="0"/>
              <w:rPr>
                <w:sz w:val="21"/>
                <w:szCs w:val="21"/>
              </w:rPr>
            </w:pPr>
            <w:r>
              <w:rPr>
                <w:rFonts w:hint="eastAsia"/>
                <w:sz w:val="21"/>
                <w:szCs w:val="21"/>
              </w:rPr>
              <w:t>赎回费</w:t>
            </w:r>
          </w:p>
        </w:tc>
        <w:tc>
          <w:tcPr>
            <w:tcW w:w="28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0556" w:rsidRDefault="00810556">
            <w:pPr>
              <w:pStyle w:val="biaogeleft"/>
              <w:wordWrap w:val="0"/>
              <w:rPr>
                <w:sz w:val="21"/>
                <w:szCs w:val="21"/>
              </w:rPr>
            </w:pPr>
            <w:r>
              <w:rPr>
                <w:rFonts w:hint="eastAsia"/>
                <w:sz w:val="21"/>
                <w:szCs w:val="21"/>
              </w:rPr>
              <w:t>N＜7日</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0556" w:rsidRDefault="00810556">
            <w:pPr>
              <w:pStyle w:val="biaogeleft"/>
              <w:wordWrap w:val="0"/>
              <w:rPr>
                <w:sz w:val="21"/>
                <w:szCs w:val="21"/>
              </w:rPr>
            </w:pPr>
            <w:r>
              <w:rPr>
                <w:rFonts w:hint="eastAsia"/>
                <w:sz w:val="21"/>
                <w:szCs w:val="21"/>
              </w:rPr>
              <w:t>1.50%</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0556" w:rsidRDefault="00810556">
            <w:pPr>
              <w:pStyle w:val="biaogeleft"/>
              <w:wordWrap w:val="0"/>
              <w:rPr>
                <w:sz w:val="21"/>
                <w:szCs w:val="21"/>
              </w:rPr>
            </w:pPr>
          </w:p>
        </w:tc>
      </w:tr>
      <w:tr w:rsidR="00810556" w:rsidTr="00810556">
        <w:trPr>
          <w:trHeight w:val="337"/>
        </w:trPr>
        <w:tc>
          <w:tcPr>
            <w:tcW w:w="289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10556" w:rsidRDefault="00810556">
            <w:pPr>
              <w:widowControl/>
              <w:jc w:val="left"/>
              <w:rPr>
                <w:rFonts w:ascii="宋体" w:hAnsi="宋体" w:cs="宋体"/>
                <w:sz w:val="21"/>
                <w:szCs w:val="21"/>
              </w:rPr>
            </w:pPr>
          </w:p>
        </w:tc>
        <w:tc>
          <w:tcPr>
            <w:tcW w:w="28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0556" w:rsidRDefault="00810556">
            <w:pPr>
              <w:pStyle w:val="biaogeleft"/>
              <w:wordWrap w:val="0"/>
              <w:rPr>
                <w:sz w:val="21"/>
                <w:szCs w:val="21"/>
              </w:rPr>
            </w:pPr>
            <w:r>
              <w:rPr>
                <w:rFonts w:hint="eastAsia"/>
                <w:sz w:val="21"/>
                <w:szCs w:val="21"/>
              </w:rPr>
              <w:t>N≥7日</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0556" w:rsidRDefault="00810556">
            <w:pPr>
              <w:pStyle w:val="biaogeleft"/>
              <w:wordWrap w:val="0"/>
              <w:rPr>
                <w:sz w:val="21"/>
                <w:szCs w:val="21"/>
              </w:rPr>
            </w:pPr>
            <w:r>
              <w:rPr>
                <w:rFonts w:hint="eastAsia"/>
                <w:sz w:val="21"/>
                <w:szCs w:val="21"/>
              </w:rPr>
              <w:t>0</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0556" w:rsidRDefault="00810556">
            <w:pPr>
              <w:pStyle w:val="biaogeleft"/>
              <w:wordWrap w:val="0"/>
              <w:rPr>
                <w:sz w:val="21"/>
                <w:szCs w:val="21"/>
              </w:rPr>
            </w:pPr>
          </w:p>
        </w:tc>
      </w:tr>
    </w:tbl>
    <w:p w:rsidR="00810556" w:rsidRDefault="00810556" w:rsidP="00810556">
      <w:pPr>
        <w:spacing w:line="288" w:lineRule="auto"/>
        <w:rPr>
          <w:rFonts w:hAnsi="Calibri"/>
          <w:color w:val="000000"/>
          <w:szCs w:val="21"/>
        </w:rPr>
      </w:pPr>
    </w:p>
    <w:p w:rsidR="00810556" w:rsidRDefault="00810556" w:rsidP="00810556">
      <w:pPr>
        <w:pStyle w:val="biaogeleft"/>
        <w:rPr>
          <w:rFonts w:hAnsi="等线"/>
          <w:color w:val="000000"/>
          <w:sz w:val="21"/>
          <w:szCs w:val="21"/>
        </w:rPr>
      </w:pPr>
      <w:r>
        <w:rPr>
          <w:rFonts w:hAnsi="等线" w:hint="eastAsia"/>
          <w:color w:val="000000"/>
          <w:sz w:val="21"/>
          <w:szCs w:val="21"/>
        </w:rPr>
        <w:t>认购费：本基金C类基金份额不收取认购费。</w:t>
      </w:r>
    </w:p>
    <w:p w:rsidR="00810556" w:rsidRDefault="00810556" w:rsidP="00810556">
      <w:pPr>
        <w:pStyle w:val="biaogeleft"/>
        <w:rPr>
          <w:rFonts w:hAnsi="等线"/>
          <w:color w:val="000000"/>
          <w:sz w:val="21"/>
          <w:szCs w:val="21"/>
        </w:rPr>
      </w:pPr>
      <w:r>
        <w:rPr>
          <w:rFonts w:hAnsi="等线" w:hint="eastAsia"/>
          <w:color w:val="000000"/>
          <w:sz w:val="21"/>
          <w:szCs w:val="21"/>
        </w:rPr>
        <w:t>申购费：本基金C类基金份额不收取申购费。</w:t>
      </w:r>
    </w:p>
    <w:p w:rsidR="00810556" w:rsidRDefault="00810556" w:rsidP="00810556">
      <w:pPr>
        <w:spacing w:line="288" w:lineRule="auto"/>
        <w:rPr>
          <w:rFonts w:hAnsi="等线"/>
          <w:color w:val="000000"/>
          <w:szCs w:val="21"/>
        </w:rPr>
      </w:pPr>
    </w:p>
    <w:p w:rsidR="00810556" w:rsidRDefault="00810556" w:rsidP="00810556">
      <w:pPr>
        <w:pStyle w:val="zhangjiep"/>
        <w:rPr>
          <w:rFonts w:hAnsi="等线"/>
          <w:color w:val="000000"/>
          <w:sz w:val="21"/>
          <w:szCs w:val="21"/>
        </w:rPr>
      </w:pPr>
      <w:r>
        <w:rPr>
          <w:rFonts w:hAnsi="等线" w:hint="eastAsia"/>
          <w:b/>
          <w:color w:val="000000"/>
          <w:sz w:val="21"/>
          <w:szCs w:val="21"/>
        </w:rPr>
        <w:t xml:space="preserve">（二）基金运作相关费用 </w:t>
      </w:r>
    </w:p>
    <w:p w:rsidR="00810556" w:rsidRDefault="00810556" w:rsidP="00810556">
      <w:pPr>
        <w:spacing w:line="312" w:lineRule="exact"/>
      </w:pPr>
      <w:r>
        <w:rPr>
          <w:rFonts w:hint="eastAsia"/>
          <w:szCs w:val="21"/>
        </w:rPr>
        <w:t>以下费用将从基金资产中扣除：</w:t>
      </w:r>
      <w:r>
        <w:t xml:space="preserve"> </w:t>
      </w:r>
    </w:p>
    <w:tbl>
      <w:tblPr>
        <w:tblW w:w="55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22"/>
        <w:gridCol w:w="2192"/>
        <w:gridCol w:w="2693"/>
        <w:gridCol w:w="3402"/>
      </w:tblGrid>
      <w:tr w:rsidR="00810556" w:rsidTr="00420013">
        <w:trPr>
          <w:trHeight w:val="387"/>
        </w:trPr>
        <w:tc>
          <w:tcPr>
            <w:tcW w:w="9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10556" w:rsidRDefault="00810556">
            <w:pPr>
              <w:rPr>
                <w:b/>
                <w:szCs w:val="24"/>
                <w:lang w:eastAsia="zh-Hans"/>
              </w:rPr>
            </w:pPr>
            <w:r>
              <w:rPr>
                <w:rFonts w:hint="eastAsia"/>
                <w:b/>
              </w:rPr>
              <w:t>费用类别</w:t>
            </w:r>
            <w:r>
              <w:rPr>
                <w:b/>
                <w:szCs w:val="24"/>
                <w:lang w:eastAsia="zh-Hans"/>
              </w:rPr>
              <w:t xml:space="preserve"> </w:t>
            </w:r>
          </w:p>
        </w:tc>
        <w:tc>
          <w:tcPr>
            <w:tcW w:w="4885" w:type="dxa"/>
            <w:gridSpan w:val="2"/>
            <w:tcBorders>
              <w:top w:val="single" w:sz="4" w:space="0" w:color="auto"/>
              <w:left w:val="single" w:sz="4" w:space="0" w:color="auto"/>
              <w:bottom w:val="single" w:sz="4" w:space="0" w:color="auto"/>
              <w:right w:val="single" w:sz="4" w:space="0" w:color="auto"/>
            </w:tcBorders>
            <w:vAlign w:val="center"/>
            <w:hideMark/>
          </w:tcPr>
          <w:p w:rsidR="00810556" w:rsidRDefault="00810556">
            <w:pPr>
              <w:jc w:val="center"/>
              <w:rPr>
                <w:b/>
                <w:szCs w:val="24"/>
                <w:lang w:eastAsia="zh-Hans"/>
              </w:rPr>
            </w:pPr>
            <w:r>
              <w:rPr>
                <w:rFonts w:hint="eastAsia"/>
                <w:b/>
                <w:szCs w:val="24"/>
              </w:rPr>
              <w:t>收费方式</w:t>
            </w:r>
            <w:r>
              <w:rPr>
                <w:b/>
                <w:szCs w:val="24"/>
              </w:rPr>
              <w:t>/</w:t>
            </w:r>
            <w:r>
              <w:rPr>
                <w:rFonts w:hint="eastAsia"/>
                <w:b/>
                <w:szCs w:val="24"/>
              </w:rPr>
              <w:t>年费率或金额</w:t>
            </w:r>
            <w:r>
              <w:rPr>
                <w:b/>
                <w:szCs w:val="24"/>
                <w:lang w:eastAsia="zh-Hans"/>
              </w:rPr>
              <w:t xml:space="preserve"> </w:t>
            </w:r>
          </w:p>
        </w:tc>
        <w:tc>
          <w:tcPr>
            <w:tcW w:w="3402" w:type="dxa"/>
            <w:tcBorders>
              <w:top w:val="single" w:sz="4" w:space="0" w:color="auto"/>
              <w:left w:val="single" w:sz="4" w:space="0" w:color="auto"/>
              <w:bottom w:val="single" w:sz="4" w:space="0" w:color="auto"/>
              <w:right w:val="single" w:sz="4" w:space="0" w:color="auto"/>
            </w:tcBorders>
            <w:vAlign w:val="center"/>
            <w:hideMark/>
          </w:tcPr>
          <w:p w:rsidR="00810556" w:rsidRDefault="00810556">
            <w:pPr>
              <w:jc w:val="center"/>
              <w:rPr>
                <w:b/>
                <w:szCs w:val="24"/>
                <w:lang w:eastAsia="zh-Hans"/>
              </w:rPr>
            </w:pPr>
            <w:r>
              <w:rPr>
                <w:rFonts w:hint="eastAsia"/>
                <w:b/>
                <w:szCs w:val="24"/>
              </w:rPr>
              <w:t>收取方</w:t>
            </w:r>
            <w:r>
              <w:rPr>
                <w:b/>
                <w:szCs w:val="24"/>
                <w:lang w:eastAsia="zh-Hans"/>
              </w:rPr>
              <w:t xml:space="preserve"> </w:t>
            </w:r>
          </w:p>
        </w:tc>
      </w:tr>
      <w:tr w:rsidR="00810556" w:rsidTr="00420013">
        <w:trPr>
          <w:trHeight w:val="386"/>
        </w:trPr>
        <w:tc>
          <w:tcPr>
            <w:tcW w:w="9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10556" w:rsidRDefault="00810556">
            <w:pPr>
              <w:rPr>
                <w:szCs w:val="24"/>
                <w:lang w:eastAsia="zh-Hans"/>
              </w:rPr>
            </w:pPr>
            <w:r>
              <w:rPr>
                <w:rFonts w:hint="eastAsia"/>
                <w:b/>
              </w:rPr>
              <w:t>管理费</w:t>
            </w:r>
            <w:r>
              <w:rPr>
                <w:szCs w:val="24"/>
                <w:lang w:eastAsia="zh-Hans"/>
              </w:rPr>
              <w:t xml:space="preserve"> </w:t>
            </w:r>
          </w:p>
        </w:tc>
        <w:tc>
          <w:tcPr>
            <w:tcW w:w="4885" w:type="dxa"/>
            <w:gridSpan w:val="2"/>
            <w:tcBorders>
              <w:top w:val="single" w:sz="4" w:space="0" w:color="auto"/>
              <w:left w:val="single" w:sz="4" w:space="0" w:color="auto"/>
              <w:bottom w:val="single" w:sz="4" w:space="0" w:color="auto"/>
              <w:right w:val="single" w:sz="4" w:space="0" w:color="auto"/>
            </w:tcBorders>
            <w:vAlign w:val="center"/>
            <w:hideMark/>
          </w:tcPr>
          <w:p w:rsidR="00810556" w:rsidRDefault="00810556">
            <w:pPr>
              <w:jc w:val="center"/>
              <w:rPr>
                <w:szCs w:val="24"/>
                <w:lang w:eastAsia="zh-Hans"/>
              </w:rPr>
            </w:pPr>
            <w:r>
              <w:rPr>
                <w:szCs w:val="24"/>
              </w:rPr>
              <w:t>0.50</w:t>
            </w:r>
            <w:r>
              <w:rPr>
                <w:szCs w:val="21"/>
              </w:rPr>
              <w:t>%</w:t>
            </w:r>
            <w:r>
              <w:rPr>
                <w:szCs w:val="24"/>
                <w:lang w:eastAsia="zh-Hans"/>
              </w:rPr>
              <w:t xml:space="preserve"> </w:t>
            </w:r>
          </w:p>
        </w:tc>
        <w:tc>
          <w:tcPr>
            <w:tcW w:w="3402" w:type="dxa"/>
            <w:tcBorders>
              <w:top w:val="single" w:sz="4" w:space="0" w:color="auto"/>
              <w:left w:val="single" w:sz="4" w:space="0" w:color="auto"/>
              <w:bottom w:val="single" w:sz="4" w:space="0" w:color="auto"/>
              <w:right w:val="single" w:sz="4" w:space="0" w:color="auto"/>
            </w:tcBorders>
            <w:vAlign w:val="center"/>
            <w:hideMark/>
          </w:tcPr>
          <w:p w:rsidR="00810556" w:rsidRDefault="00810556">
            <w:pPr>
              <w:jc w:val="center"/>
            </w:pPr>
            <w:r>
              <w:rPr>
                <w:rFonts w:hint="eastAsia"/>
                <w:szCs w:val="24"/>
              </w:rPr>
              <w:t>基金管理人和销售机构</w:t>
            </w:r>
          </w:p>
        </w:tc>
      </w:tr>
      <w:tr w:rsidR="00810556" w:rsidTr="00420013">
        <w:trPr>
          <w:trHeight w:val="386"/>
        </w:trPr>
        <w:tc>
          <w:tcPr>
            <w:tcW w:w="9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10556" w:rsidRDefault="00810556">
            <w:pPr>
              <w:rPr>
                <w:szCs w:val="24"/>
                <w:lang w:eastAsia="zh-Hans"/>
              </w:rPr>
            </w:pPr>
            <w:r>
              <w:rPr>
                <w:rFonts w:hint="eastAsia"/>
                <w:b/>
              </w:rPr>
              <w:t>托管费</w:t>
            </w:r>
            <w:r>
              <w:rPr>
                <w:szCs w:val="24"/>
                <w:lang w:eastAsia="zh-Hans"/>
              </w:rPr>
              <w:t xml:space="preserve"> </w:t>
            </w:r>
          </w:p>
        </w:tc>
        <w:tc>
          <w:tcPr>
            <w:tcW w:w="4885" w:type="dxa"/>
            <w:gridSpan w:val="2"/>
            <w:tcBorders>
              <w:top w:val="single" w:sz="4" w:space="0" w:color="auto"/>
              <w:left w:val="single" w:sz="4" w:space="0" w:color="auto"/>
              <w:bottom w:val="single" w:sz="4" w:space="0" w:color="auto"/>
              <w:right w:val="single" w:sz="4" w:space="0" w:color="auto"/>
            </w:tcBorders>
            <w:vAlign w:val="center"/>
            <w:hideMark/>
          </w:tcPr>
          <w:p w:rsidR="00810556" w:rsidRDefault="00810556">
            <w:pPr>
              <w:jc w:val="center"/>
              <w:rPr>
                <w:szCs w:val="24"/>
                <w:lang w:eastAsia="zh-Hans"/>
              </w:rPr>
            </w:pPr>
            <w:r>
              <w:rPr>
                <w:szCs w:val="24"/>
              </w:rPr>
              <w:t>0.05</w:t>
            </w:r>
            <w:r>
              <w:rPr>
                <w:szCs w:val="21"/>
              </w:rPr>
              <w:t>%</w:t>
            </w:r>
            <w:r>
              <w:rPr>
                <w:szCs w:val="24"/>
                <w:lang w:eastAsia="zh-Hans"/>
              </w:rPr>
              <w:t xml:space="preserve"> </w:t>
            </w:r>
          </w:p>
        </w:tc>
        <w:tc>
          <w:tcPr>
            <w:tcW w:w="3402" w:type="dxa"/>
            <w:tcBorders>
              <w:top w:val="single" w:sz="4" w:space="0" w:color="auto"/>
              <w:left w:val="single" w:sz="4" w:space="0" w:color="auto"/>
              <w:bottom w:val="single" w:sz="4" w:space="0" w:color="auto"/>
              <w:right w:val="single" w:sz="4" w:space="0" w:color="auto"/>
            </w:tcBorders>
            <w:vAlign w:val="center"/>
            <w:hideMark/>
          </w:tcPr>
          <w:p w:rsidR="00810556" w:rsidRDefault="00810556">
            <w:pPr>
              <w:jc w:val="center"/>
              <w:rPr>
                <w:szCs w:val="24"/>
              </w:rPr>
            </w:pPr>
            <w:r>
              <w:rPr>
                <w:rFonts w:hint="eastAsia"/>
                <w:szCs w:val="24"/>
              </w:rPr>
              <w:t>基金托管人</w:t>
            </w:r>
            <w:r>
              <w:rPr>
                <w:szCs w:val="24"/>
              </w:rPr>
              <w:t xml:space="preserve"> </w:t>
            </w:r>
          </w:p>
        </w:tc>
      </w:tr>
      <w:tr w:rsidR="00810556" w:rsidTr="00420013">
        <w:trPr>
          <w:trHeight w:val="386"/>
        </w:trPr>
        <w:tc>
          <w:tcPr>
            <w:tcW w:w="9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10556" w:rsidRDefault="00810556">
            <w:pPr>
              <w:rPr>
                <w:szCs w:val="24"/>
                <w:lang w:eastAsia="zh-Hans"/>
              </w:rPr>
            </w:pPr>
            <w:r>
              <w:rPr>
                <w:rFonts w:hint="eastAsia"/>
                <w:b/>
              </w:rPr>
              <w:t>销售服务费</w:t>
            </w:r>
            <w:r>
              <w:rPr>
                <w:szCs w:val="24"/>
                <w:lang w:eastAsia="zh-Hans"/>
              </w:rPr>
              <w:t xml:space="preserve"> </w:t>
            </w:r>
          </w:p>
        </w:tc>
        <w:tc>
          <w:tcPr>
            <w:tcW w:w="2192" w:type="dxa"/>
            <w:tcBorders>
              <w:top w:val="single" w:sz="4" w:space="0" w:color="auto"/>
              <w:left w:val="single" w:sz="4" w:space="0" w:color="auto"/>
              <w:bottom w:val="single" w:sz="4" w:space="0" w:color="auto"/>
              <w:right w:val="single" w:sz="4" w:space="0" w:color="auto"/>
            </w:tcBorders>
            <w:vAlign w:val="center"/>
            <w:hideMark/>
          </w:tcPr>
          <w:p w:rsidR="00810556" w:rsidRDefault="00420013">
            <w:pPr>
              <w:jc w:val="center"/>
            </w:pPr>
            <w:r>
              <w:rPr>
                <w:rFonts w:hAnsi="等线" w:hint="eastAsia"/>
                <w:color w:val="000000"/>
                <w:szCs w:val="21"/>
              </w:rPr>
              <w:t>中欧</w:t>
            </w:r>
            <w:r w:rsidR="00810556">
              <w:rPr>
                <w:rFonts w:hAnsi="等线" w:hint="eastAsia"/>
                <w:color w:val="000000"/>
                <w:szCs w:val="21"/>
              </w:rPr>
              <w:t>中证</w:t>
            </w:r>
            <w:r w:rsidR="00810556">
              <w:rPr>
                <w:rFonts w:hAnsi="等线"/>
                <w:color w:val="000000"/>
                <w:szCs w:val="21"/>
              </w:rPr>
              <w:t>A50</w:t>
            </w:r>
            <w:r w:rsidR="00810556">
              <w:rPr>
                <w:rFonts w:hAnsi="等线" w:hint="eastAsia"/>
                <w:color w:val="000000"/>
                <w:szCs w:val="21"/>
              </w:rPr>
              <w:t>指数</w:t>
            </w:r>
            <w:r w:rsidR="00810556">
              <w:rPr>
                <w:rFonts w:hAnsi="等线"/>
                <w:color w:val="000000"/>
                <w:szCs w:val="21"/>
              </w:rPr>
              <w:t>C</w:t>
            </w:r>
          </w:p>
        </w:tc>
        <w:tc>
          <w:tcPr>
            <w:tcW w:w="2693" w:type="dxa"/>
            <w:tcBorders>
              <w:top w:val="single" w:sz="4" w:space="0" w:color="auto"/>
              <w:left w:val="single" w:sz="4" w:space="0" w:color="auto"/>
              <w:bottom w:val="single" w:sz="4" w:space="0" w:color="auto"/>
              <w:right w:val="single" w:sz="4" w:space="0" w:color="auto"/>
            </w:tcBorders>
            <w:vAlign w:val="center"/>
            <w:hideMark/>
          </w:tcPr>
          <w:p w:rsidR="00810556" w:rsidRDefault="00810556">
            <w:pPr>
              <w:jc w:val="center"/>
              <w:rPr>
                <w:szCs w:val="24"/>
                <w:lang w:eastAsia="zh-Hans"/>
              </w:rPr>
            </w:pPr>
            <w:r>
              <w:rPr>
                <w:szCs w:val="24"/>
              </w:rPr>
              <w:t>0.25</w:t>
            </w:r>
            <w:r>
              <w:rPr>
                <w:szCs w:val="21"/>
              </w:rPr>
              <w:t>%</w:t>
            </w:r>
            <w:r>
              <w:rPr>
                <w:szCs w:val="24"/>
                <w:lang w:eastAsia="zh-Hans"/>
              </w:rPr>
              <w:t xml:space="preserve"> </w:t>
            </w:r>
          </w:p>
        </w:tc>
        <w:tc>
          <w:tcPr>
            <w:tcW w:w="3402" w:type="dxa"/>
            <w:tcBorders>
              <w:top w:val="single" w:sz="4" w:space="0" w:color="auto"/>
              <w:left w:val="single" w:sz="4" w:space="0" w:color="auto"/>
              <w:bottom w:val="single" w:sz="4" w:space="0" w:color="auto"/>
              <w:right w:val="single" w:sz="4" w:space="0" w:color="auto"/>
            </w:tcBorders>
            <w:vAlign w:val="center"/>
            <w:hideMark/>
          </w:tcPr>
          <w:p w:rsidR="00810556" w:rsidRDefault="00810556">
            <w:pPr>
              <w:jc w:val="center"/>
            </w:pPr>
            <w:r>
              <w:rPr>
                <w:rFonts w:hint="eastAsia"/>
                <w:szCs w:val="24"/>
              </w:rPr>
              <w:t>销售机构</w:t>
            </w:r>
          </w:p>
        </w:tc>
      </w:tr>
      <w:tr w:rsidR="00810556" w:rsidTr="00420013">
        <w:trPr>
          <w:trHeight w:val="386"/>
        </w:trPr>
        <w:tc>
          <w:tcPr>
            <w:tcW w:w="9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10556" w:rsidRDefault="00810556">
            <w:pPr>
              <w:rPr>
                <w:szCs w:val="24"/>
                <w:lang w:eastAsia="zh-Hans"/>
              </w:rPr>
            </w:pPr>
            <w:r>
              <w:rPr>
                <w:rFonts w:hint="eastAsia"/>
                <w:b/>
                <w:szCs w:val="24"/>
                <w:lang w:eastAsia="zh-Hans"/>
              </w:rPr>
              <w:t>其他费用</w:t>
            </w:r>
            <w:r>
              <w:rPr>
                <w:rFonts w:hint="eastAsia"/>
                <w:szCs w:val="24"/>
                <w:lang w:eastAsia="zh-Hans"/>
              </w:rPr>
              <w:t xml:space="preserve"> </w:t>
            </w:r>
          </w:p>
        </w:tc>
        <w:tc>
          <w:tcPr>
            <w:tcW w:w="4885" w:type="dxa"/>
            <w:gridSpan w:val="2"/>
            <w:tcBorders>
              <w:top w:val="single" w:sz="4" w:space="0" w:color="auto"/>
              <w:left w:val="single" w:sz="4" w:space="0" w:color="auto"/>
              <w:bottom w:val="single" w:sz="4" w:space="0" w:color="auto"/>
              <w:right w:val="single" w:sz="4" w:space="0" w:color="auto"/>
            </w:tcBorders>
            <w:vAlign w:val="center"/>
            <w:hideMark/>
          </w:tcPr>
          <w:p w:rsidR="00810556" w:rsidRDefault="00810556">
            <w:pPr>
              <w:jc w:val="center"/>
            </w:pPr>
            <w:r>
              <w:rPr>
                <w:rFonts w:hint="eastAsia"/>
                <w:szCs w:val="24"/>
              </w:rPr>
              <w:t>详见招募说明书的基金费用与税收章节。</w:t>
            </w:r>
          </w:p>
        </w:tc>
        <w:tc>
          <w:tcPr>
            <w:tcW w:w="3402" w:type="dxa"/>
            <w:tcBorders>
              <w:top w:val="single" w:sz="4" w:space="0" w:color="auto"/>
              <w:left w:val="single" w:sz="4" w:space="0" w:color="auto"/>
              <w:bottom w:val="single" w:sz="4" w:space="0" w:color="auto"/>
              <w:right w:val="single" w:sz="4" w:space="0" w:color="auto"/>
            </w:tcBorders>
            <w:vAlign w:val="center"/>
            <w:hideMark/>
          </w:tcPr>
          <w:p w:rsidR="00810556" w:rsidRDefault="00810556">
            <w:pPr>
              <w:jc w:val="center"/>
            </w:pPr>
            <w:r>
              <w:rPr>
                <w:rFonts w:hint="eastAsia"/>
                <w:szCs w:val="24"/>
              </w:rPr>
              <w:t>相关服务机构</w:t>
            </w:r>
          </w:p>
        </w:tc>
      </w:tr>
    </w:tbl>
    <w:p w:rsidR="00832C19" w:rsidRPr="00832C19" w:rsidRDefault="00832C19" w:rsidP="00832C19">
      <w:pPr>
        <w:spacing w:line="312" w:lineRule="exact"/>
        <w:rPr>
          <w:szCs w:val="21"/>
          <w:lang w:eastAsia="zh-Hans"/>
        </w:rPr>
      </w:pPr>
      <w:r w:rsidRPr="00376C32">
        <w:rPr>
          <w:rFonts w:hint="eastAsia"/>
          <w:szCs w:val="21"/>
        </w:rPr>
        <w:t>注：</w:t>
      </w:r>
      <w:r w:rsidRPr="00376C32">
        <w:rPr>
          <w:rFonts w:hint="eastAsia"/>
          <w:szCs w:val="21"/>
          <w:lang w:eastAsia="zh-Hans"/>
        </w:rPr>
        <w:t>本基金交易证券、基金等产生的费用和税负，按实际发生额从基金资产扣除。</w:t>
      </w:r>
    </w:p>
    <w:p w:rsidR="00832C19" w:rsidRPr="00832C19" w:rsidRDefault="00832C19" w:rsidP="00832C19">
      <w:pPr>
        <w:spacing w:line="312" w:lineRule="exact"/>
      </w:pPr>
    </w:p>
    <w:p w:rsidR="00810556" w:rsidRDefault="00810556" w:rsidP="00810556">
      <w:pPr>
        <w:pStyle w:val="zhangjiep"/>
        <w:rPr>
          <w:rFonts w:hAnsi="等线"/>
          <w:color w:val="000000"/>
          <w:sz w:val="21"/>
          <w:szCs w:val="21"/>
        </w:rPr>
      </w:pPr>
      <w:r>
        <w:rPr>
          <w:rFonts w:hAnsi="等线" w:hint="eastAsia"/>
          <w:b/>
          <w:color w:val="000000"/>
          <w:sz w:val="21"/>
          <w:szCs w:val="21"/>
        </w:rPr>
        <w:t>四、 风险揭示与重要提示</w:t>
      </w:r>
    </w:p>
    <w:p w:rsidR="00810556" w:rsidRDefault="00810556" w:rsidP="00810556">
      <w:pPr>
        <w:pStyle w:val="zhangjiep"/>
        <w:rPr>
          <w:rFonts w:hAnsi="等线"/>
          <w:color w:val="000000"/>
          <w:sz w:val="21"/>
          <w:szCs w:val="21"/>
        </w:rPr>
      </w:pPr>
      <w:r>
        <w:rPr>
          <w:rFonts w:hAnsi="等线" w:hint="eastAsia"/>
          <w:b/>
          <w:color w:val="000000"/>
          <w:sz w:val="21"/>
          <w:szCs w:val="21"/>
        </w:rPr>
        <w:t xml:space="preserve">（一）风险揭示 </w:t>
      </w:r>
    </w:p>
    <w:p w:rsidR="00810556" w:rsidRDefault="00810556" w:rsidP="00810556">
      <w:pPr>
        <w:pStyle w:val="neirong"/>
        <w:spacing w:before="0"/>
        <w:ind w:left="0" w:firstLine="480"/>
        <w:rPr>
          <w:rFonts w:hAnsi="等线"/>
          <w:color w:val="000000"/>
          <w:sz w:val="21"/>
          <w:szCs w:val="21"/>
        </w:rPr>
      </w:pPr>
      <w:r>
        <w:rPr>
          <w:rFonts w:hAnsi="等线" w:hint="eastAsia"/>
          <w:color w:val="000000"/>
          <w:sz w:val="21"/>
          <w:szCs w:val="21"/>
        </w:rPr>
        <w:t>本基金不提供任何保证。投资者可能损失投资本金。</w:t>
      </w:r>
    </w:p>
    <w:p w:rsidR="00810556" w:rsidRDefault="00810556" w:rsidP="00810556">
      <w:pPr>
        <w:pStyle w:val="neirong"/>
        <w:spacing w:before="0"/>
        <w:ind w:left="0" w:firstLine="480"/>
        <w:rPr>
          <w:rFonts w:hAnsi="等线"/>
          <w:color w:val="000000"/>
          <w:sz w:val="21"/>
          <w:szCs w:val="21"/>
        </w:rPr>
      </w:pPr>
      <w:r>
        <w:rPr>
          <w:rFonts w:hAnsi="等线" w:hint="eastAsia"/>
          <w:color w:val="000000"/>
          <w:sz w:val="21"/>
          <w:szCs w:val="21"/>
        </w:rPr>
        <w:t>投资有风险，投资者购买基金时应认真阅读本基金的《招募说明书》等销售文件。</w:t>
      </w:r>
    </w:p>
    <w:p w:rsidR="00810556" w:rsidRDefault="00810556" w:rsidP="00810556">
      <w:pPr>
        <w:pStyle w:val="neirong"/>
        <w:spacing w:before="0"/>
        <w:ind w:left="0" w:firstLine="480"/>
        <w:rPr>
          <w:rFonts w:hAnsi="等线"/>
          <w:color w:val="000000"/>
          <w:sz w:val="21"/>
          <w:szCs w:val="21"/>
        </w:rPr>
      </w:pPr>
      <w:r>
        <w:rPr>
          <w:rFonts w:hAnsi="等线" w:hint="eastAsia"/>
          <w:color w:val="000000"/>
          <w:sz w:val="21"/>
          <w:szCs w:val="21"/>
        </w:rPr>
        <w:t>本基金的风险主要包括：</w:t>
      </w:r>
    </w:p>
    <w:p w:rsidR="00810556" w:rsidRDefault="00810556" w:rsidP="00810556">
      <w:pPr>
        <w:pStyle w:val="neirong"/>
        <w:spacing w:before="0"/>
        <w:ind w:left="0" w:firstLine="480"/>
        <w:rPr>
          <w:rFonts w:hAnsi="等线"/>
          <w:color w:val="000000"/>
          <w:sz w:val="21"/>
          <w:szCs w:val="21"/>
        </w:rPr>
      </w:pPr>
      <w:r>
        <w:rPr>
          <w:rFonts w:hAnsi="等线" w:hint="eastAsia"/>
          <w:color w:val="000000"/>
          <w:sz w:val="21"/>
          <w:szCs w:val="21"/>
        </w:rPr>
        <w:t>-市场风险</w:t>
      </w:r>
    </w:p>
    <w:p w:rsidR="00810556" w:rsidRDefault="00810556" w:rsidP="00810556">
      <w:pPr>
        <w:pStyle w:val="neirong"/>
        <w:spacing w:before="0"/>
        <w:ind w:left="0" w:firstLine="480"/>
        <w:rPr>
          <w:rFonts w:hAnsi="等线"/>
          <w:color w:val="000000"/>
          <w:sz w:val="21"/>
          <w:szCs w:val="21"/>
        </w:rPr>
      </w:pPr>
      <w:r>
        <w:rPr>
          <w:rFonts w:hAnsi="等线" w:hint="eastAsia"/>
          <w:color w:val="000000"/>
          <w:sz w:val="21"/>
          <w:szCs w:val="21"/>
        </w:rPr>
        <w:t>1、政策风险，2、利率风险，3、信用风险，4、通货膨胀风险，5、再投资风险</w:t>
      </w:r>
      <w:bookmarkStart w:id="0" w:name="_GoBack"/>
      <w:bookmarkEnd w:id="0"/>
      <w:r>
        <w:rPr>
          <w:rFonts w:hAnsi="等线" w:hint="eastAsia"/>
          <w:color w:val="000000"/>
          <w:sz w:val="21"/>
          <w:szCs w:val="21"/>
        </w:rPr>
        <w:t>，6、法律风险；</w:t>
      </w:r>
    </w:p>
    <w:p w:rsidR="00810556" w:rsidRDefault="00810556" w:rsidP="00810556">
      <w:pPr>
        <w:pStyle w:val="neirong"/>
        <w:spacing w:before="0"/>
        <w:ind w:left="0" w:firstLine="480"/>
        <w:rPr>
          <w:rFonts w:hAnsi="等线"/>
          <w:color w:val="000000"/>
          <w:sz w:val="21"/>
          <w:szCs w:val="21"/>
        </w:rPr>
      </w:pPr>
      <w:r>
        <w:rPr>
          <w:rFonts w:hAnsi="等线" w:hint="eastAsia"/>
          <w:color w:val="000000"/>
          <w:sz w:val="21"/>
          <w:szCs w:val="21"/>
        </w:rPr>
        <w:lastRenderedPageBreak/>
        <w:t>-管理风险；</w:t>
      </w:r>
    </w:p>
    <w:p w:rsidR="00810556" w:rsidRDefault="00810556" w:rsidP="00810556">
      <w:pPr>
        <w:pStyle w:val="neirong"/>
        <w:spacing w:before="0"/>
        <w:ind w:left="0" w:firstLine="480"/>
        <w:rPr>
          <w:rFonts w:hAnsi="等线"/>
          <w:color w:val="000000"/>
          <w:sz w:val="21"/>
          <w:szCs w:val="21"/>
        </w:rPr>
      </w:pPr>
      <w:r>
        <w:rPr>
          <w:rFonts w:hAnsi="等线" w:hint="eastAsia"/>
          <w:color w:val="000000"/>
          <w:sz w:val="21"/>
          <w:szCs w:val="21"/>
        </w:rPr>
        <w:t>-流动性风险；</w:t>
      </w:r>
    </w:p>
    <w:p w:rsidR="00810556" w:rsidRDefault="00810556" w:rsidP="00810556">
      <w:pPr>
        <w:pStyle w:val="neirong"/>
        <w:spacing w:before="0"/>
        <w:ind w:left="0" w:firstLine="480"/>
        <w:rPr>
          <w:rFonts w:hAnsi="等线"/>
          <w:color w:val="000000"/>
          <w:sz w:val="21"/>
          <w:szCs w:val="21"/>
        </w:rPr>
      </w:pPr>
      <w:r>
        <w:rPr>
          <w:rFonts w:hAnsi="等线" w:hint="eastAsia"/>
          <w:color w:val="000000"/>
          <w:sz w:val="21"/>
          <w:szCs w:val="21"/>
        </w:rPr>
        <w:t>-其它风险；</w:t>
      </w:r>
    </w:p>
    <w:p w:rsidR="00810556" w:rsidRDefault="00810556" w:rsidP="00810556">
      <w:pPr>
        <w:pStyle w:val="neirong"/>
        <w:spacing w:before="0"/>
        <w:ind w:left="0" w:firstLine="480"/>
        <w:rPr>
          <w:rFonts w:hAnsi="等线"/>
          <w:color w:val="000000"/>
          <w:sz w:val="21"/>
          <w:szCs w:val="21"/>
        </w:rPr>
      </w:pPr>
      <w:r>
        <w:rPr>
          <w:rFonts w:hAnsi="等线" w:hint="eastAsia"/>
          <w:color w:val="000000"/>
          <w:sz w:val="21"/>
          <w:szCs w:val="21"/>
        </w:rPr>
        <w:t>-特有风险</w:t>
      </w:r>
    </w:p>
    <w:p w:rsidR="00810556" w:rsidRDefault="00810556" w:rsidP="00810556">
      <w:pPr>
        <w:pStyle w:val="neirong"/>
        <w:ind w:firstLine="480"/>
        <w:rPr>
          <w:rFonts w:hAnsi="等线"/>
          <w:color w:val="000000"/>
          <w:sz w:val="21"/>
          <w:szCs w:val="21"/>
        </w:rPr>
      </w:pPr>
      <w:bookmarkStart w:id="1" w:name="_Hlk150940893"/>
      <w:bookmarkStart w:id="2" w:name="_Hlk118671663"/>
      <w:r>
        <w:rPr>
          <w:rFonts w:hAnsi="等线" w:hint="eastAsia"/>
          <w:color w:val="000000"/>
          <w:sz w:val="21"/>
          <w:szCs w:val="21"/>
        </w:rPr>
        <w:t>1、指数化投资的风险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本基金投资于标的指数成份股及备选成份股的资产不低于非现金资产的80%且不低于基金资产净值的90%，业绩表现将会随着标的指数的波动而波动；同时本基金在多数情况下将维持较高的股票仓位，在股票市场下跌的过程中，可能面临基金净值与标的指数同步下跌的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（1）标的指数回报与股票市场平均回报偏离的风险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标的指数并不能代表整个股票市场。标的指数成份股的平均回报率与整个股票市场的平均回报率可能存在偏离。</w:t>
      </w:r>
    </w:p>
    <w:p w:rsidR="00810556" w:rsidRDefault="00810556" w:rsidP="00810556">
      <w:pPr>
        <w:pStyle w:val="neirong"/>
        <w:ind w:firstLine="480"/>
        <w:rPr>
          <w:rFonts w:hAnsi="等线"/>
          <w:color w:val="000000"/>
          <w:sz w:val="21"/>
          <w:szCs w:val="21"/>
        </w:rPr>
      </w:pPr>
      <w:r>
        <w:rPr>
          <w:rFonts w:hAnsi="等线" w:hint="eastAsia"/>
          <w:color w:val="000000"/>
          <w:sz w:val="21"/>
          <w:szCs w:val="21"/>
        </w:rPr>
        <w:t>（2）标的指数波动的风险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标的指数成份股的价格可能受到政治因素、经济因素、上市公司经营状况、投资人心理和交易制度等各种因素的影响而波动，导致指数波动，从而使基金收益水平发生变化，产生风险。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（3）部分成份股权重较大的风险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根据本基金标的指数编制方案，存在个别成份股权重较大、集中度较高的情况，可能使基金面临较大波动风险或流动性风险。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（4）基金收益率与业绩比较基准收益率偏离的风险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以下因素可能使基金收益率与业绩比较基准收益率发生偏离：</w:t>
      </w:r>
    </w:p>
    <w:p w:rsidR="00810556" w:rsidRDefault="00810556" w:rsidP="00810556">
      <w:pPr>
        <w:pStyle w:val="neirong"/>
        <w:ind w:firstLine="480"/>
        <w:rPr>
          <w:rFonts w:hAnsi="等线"/>
          <w:color w:val="000000"/>
          <w:sz w:val="21"/>
          <w:szCs w:val="21"/>
        </w:rPr>
      </w:pPr>
      <w:r>
        <w:rPr>
          <w:rFonts w:hAnsi="等线" w:hint="eastAsia"/>
          <w:color w:val="000000"/>
          <w:sz w:val="21"/>
          <w:szCs w:val="21"/>
        </w:rPr>
        <w:t>1）标的指数调整成份股或变更编制方法，使本基金在相应的组合调整中产生跟踪偏离度与跟踪误差。</w:t>
      </w:r>
    </w:p>
    <w:p w:rsidR="00810556" w:rsidRDefault="00810556" w:rsidP="00810556">
      <w:pPr>
        <w:pStyle w:val="neirong"/>
        <w:ind w:firstLine="480"/>
        <w:rPr>
          <w:rFonts w:hAnsi="等线"/>
          <w:color w:val="000000"/>
          <w:sz w:val="21"/>
          <w:szCs w:val="21"/>
        </w:rPr>
      </w:pPr>
      <w:r>
        <w:rPr>
          <w:rFonts w:hAnsi="等线" w:hint="eastAsia"/>
          <w:color w:val="000000"/>
          <w:sz w:val="21"/>
          <w:szCs w:val="21"/>
        </w:rPr>
        <w:t>2）标的指数成份股发生配股、增发等行为导致成份股在标的指数中的权重发生变化，使本基金在相应的组合调整中产生跟踪偏离度和跟踪误差。</w:t>
      </w:r>
    </w:p>
    <w:p w:rsidR="00810556" w:rsidRDefault="00810556" w:rsidP="00810556">
      <w:pPr>
        <w:pStyle w:val="neirong"/>
        <w:ind w:firstLine="480"/>
        <w:rPr>
          <w:rFonts w:hAnsi="等线"/>
          <w:color w:val="000000"/>
          <w:sz w:val="21"/>
          <w:szCs w:val="21"/>
        </w:rPr>
      </w:pPr>
      <w:r>
        <w:rPr>
          <w:rFonts w:hAnsi="等线" w:hint="eastAsia"/>
          <w:color w:val="000000"/>
          <w:sz w:val="21"/>
          <w:szCs w:val="21"/>
        </w:rPr>
        <w:t>3）成份股派发现金红利、送配等所获收益导致基金收益率偏离业绩比较基准收益率，从而产生跟踪偏离度和跟踪误差。</w:t>
      </w:r>
    </w:p>
    <w:p w:rsidR="00810556" w:rsidRDefault="00810556" w:rsidP="00810556">
      <w:pPr>
        <w:pStyle w:val="neirong"/>
        <w:ind w:firstLine="480"/>
        <w:rPr>
          <w:rFonts w:hAnsi="等线"/>
          <w:color w:val="000000"/>
          <w:sz w:val="21"/>
          <w:szCs w:val="21"/>
        </w:rPr>
      </w:pPr>
      <w:r>
        <w:rPr>
          <w:rFonts w:hAnsi="等线" w:hint="eastAsia"/>
          <w:color w:val="000000"/>
          <w:sz w:val="21"/>
          <w:szCs w:val="21"/>
        </w:rPr>
        <w:t>4）由于成份股摘牌或流动性差等因素，基金无法及时调整投资组合或承担冲击成本而产生跟踪偏离度和跟踪误差。</w:t>
      </w:r>
    </w:p>
    <w:p w:rsidR="00810556" w:rsidRDefault="00810556" w:rsidP="00810556">
      <w:pPr>
        <w:pStyle w:val="neirong"/>
        <w:ind w:firstLine="480"/>
        <w:rPr>
          <w:rFonts w:hAnsi="等线"/>
          <w:color w:val="000000"/>
          <w:sz w:val="21"/>
          <w:szCs w:val="21"/>
        </w:rPr>
      </w:pPr>
      <w:r>
        <w:rPr>
          <w:rFonts w:hAnsi="等线" w:hint="eastAsia"/>
          <w:color w:val="000000"/>
          <w:sz w:val="21"/>
          <w:szCs w:val="21"/>
        </w:rPr>
        <w:t>5）基金投资过程中的证券交易成本，以及基金管理费和托管费等，可能导致本基金在跟踪业绩比较基准时产生收益上的偏离。</w:t>
      </w:r>
    </w:p>
    <w:p w:rsidR="00810556" w:rsidRDefault="00810556" w:rsidP="00810556">
      <w:pPr>
        <w:pStyle w:val="neirong"/>
        <w:ind w:firstLine="480"/>
        <w:rPr>
          <w:rFonts w:hAnsi="等线"/>
          <w:color w:val="000000"/>
          <w:sz w:val="21"/>
          <w:szCs w:val="21"/>
        </w:rPr>
      </w:pPr>
      <w:r>
        <w:rPr>
          <w:rFonts w:hAnsi="等线" w:hint="eastAsia"/>
          <w:color w:val="000000"/>
          <w:sz w:val="21"/>
          <w:szCs w:val="21"/>
        </w:rPr>
        <w:t>6）在本基金指数化投资过程中，基金管理人的管理能力，例如跟踪标的指数的水平、技术手段、买入卖出的时机选择等，都会对本基金的收益产生影响，从而影响本基金对业绩比较基准的跟踪程度。</w:t>
      </w:r>
    </w:p>
    <w:p w:rsidR="00810556" w:rsidRDefault="00810556" w:rsidP="00810556">
      <w:pPr>
        <w:pStyle w:val="neirong"/>
        <w:ind w:firstLine="480"/>
        <w:rPr>
          <w:rFonts w:hAnsi="等线"/>
          <w:color w:val="000000"/>
          <w:sz w:val="21"/>
          <w:szCs w:val="21"/>
        </w:rPr>
      </w:pPr>
      <w:r>
        <w:rPr>
          <w:rFonts w:hAnsi="等线" w:hint="eastAsia"/>
          <w:color w:val="000000"/>
          <w:sz w:val="21"/>
          <w:szCs w:val="21"/>
        </w:rPr>
        <w:t>7）基金现金资产的拖累会影响本基金对业绩比较基准的跟踪程度。</w:t>
      </w:r>
    </w:p>
    <w:p w:rsidR="00810556" w:rsidRDefault="00810556" w:rsidP="00810556">
      <w:pPr>
        <w:pStyle w:val="neirong"/>
        <w:ind w:firstLine="480"/>
        <w:rPr>
          <w:rFonts w:hAnsi="等线"/>
          <w:color w:val="000000"/>
          <w:sz w:val="21"/>
          <w:szCs w:val="21"/>
        </w:rPr>
      </w:pPr>
      <w:r>
        <w:rPr>
          <w:rFonts w:hAnsi="等线" w:hint="eastAsia"/>
          <w:color w:val="000000"/>
          <w:sz w:val="21"/>
          <w:szCs w:val="21"/>
        </w:rPr>
        <w:lastRenderedPageBreak/>
        <w:t>8）特殊情况下，如果本基金采取成份股替代策略，基金投资组合与标的指数构成的差异可能导致基金收益率与业绩比较基准收益率产生偏离。</w:t>
      </w:r>
    </w:p>
    <w:p w:rsidR="00810556" w:rsidRDefault="00810556" w:rsidP="00810556">
      <w:pPr>
        <w:pStyle w:val="neirong"/>
        <w:ind w:firstLine="480"/>
        <w:rPr>
          <w:rFonts w:hAnsi="等线"/>
          <w:color w:val="000000"/>
          <w:sz w:val="21"/>
          <w:szCs w:val="21"/>
        </w:rPr>
      </w:pPr>
      <w:r>
        <w:rPr>
          <w:rFonts w:hAnsi="等线" w:hint="eastAsia"/>
          <w:color w:val="000000"/>
          <w:sz w:val="21"/>
          <w:szCs w:val="21"/>
        </w:rPr>
        <w:t>9）其他因素产生的偏离。如因受到最低买入股数的限制，基金投资组合中个别股票的持有比例与标的指数中该股票的权重可能不完全相同；因缺乏卖空、对冲机制及其他工具造成的指数跟踪成本较大；因基金申购与赎回带来的现金变动；因基金分红带来的证券买卖价格波动、证券交易成本、基金仓位变动等；因指数编制机构指数编制错误等，由此产生跟踪偏离度与跟踪误差。</w:t>
      </w:r>
    </w:p>
    <w:p w:rsidR="00810556" w:rsidRDefault="00810556" w:rsidP="00810556">
      <w:pPr>
        <w:pStyle w:val="neirong"/>
        <w:ind w:firstLine="480"/>
        <w:rPr>
          <w:rFonts w:hAnsi="等线"/>
          <w:color w:val="000000"/>
          <w:sz w:val="21"/>
          <w:szCs w:val="21"/>
        </w:rPr>
      </w:pPr>
      <w:r>
        <w:rPr>
          <w:rFonts w:hAnsi="等线" w:hint="eastAsia"/>
          <w:color w:val="000000"/>
          <w:sz w:val="21"/>
          <w:szCs w:val="21"/>
        </w:rPr>
        <w:t>（5）跟踪误差控制未达约定目标的风险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本基金力争将日均跟踪偏离度的绝对值控制在0.35%以内，年化跟踪误差控制在4%以内，但因标的指数编制规则调整或其他因素可能导致跟踪误差超过上述范围，本基金净值表现与指数价格走势可能发生较大偏离。</w:t>
      </w:r>
    </w:p>
    <w:p w:rsidR="00810556" w:rsidRDefault="00810556" w:rsidP="00810556">
      <w:pPr>
        <w:pStyle w:val="neirong"/>
        <w:ind w:firstLine="480"/>
        <w:rPr>
          <w:rFonts w:hAnsi="等线"/>
          <w:color w:val="000000"/>
          <w:sz w:val="21"/>
          <w:szCs w:val="21"/>
        </w:rPr>
      </w:pPr>
      <w:r>
        <w:rPr>
          <w:rFonts w:hAnsi="等线" w:hint="eastAsia"/>
          <w:color w:val="000000"/>
          <w:sz w:val="21"/>
          <w:szCs w:val="21"/>
        </w:rPr>
        <w:t>（6）标的指数值计算出错的风险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尽管指数编制机构将采取一切必要措施以确保指数的准确性，但不对此作任何保证，亦不因指数的任何错误对任何人负责。因此，如果标的指数值出现错误，投资人参考指数值进行投资决策，则可能导致损失。</w:t>
      </w:r>
    </w:p>
    <w:p w:rsidR="00810556" w:rsidRDefault="00810556" w:rsidP="00810556">
      <w:pPr>
        <w:pStyle w:val="neirong"/>
        <w:ind w:firstLine="480"/>
        <w:rPr>
          <w:rFonts w:hAnsi="等线"/>
          <w:color w:val="000000"/>
          <w:sz w:val="21"/>
          <w:szCs w:val="21"/>
        </w:rPr>
      </w:pPr>
      <w:r>
        <w:rPr>
          <w:rFonts w:hAnsi="等线" w:hint="eastAsia"/>
          <w:color w:val="000000"/>
          <w:sz w:val="21"/>
          <w:szCs w:val="21"/>
        </w:rPr>
        <w:t>（7）指数编制机构停止服务的风险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本基金的标的指数由指数编制机构发布并管理和维护，未来指数编制机构可能由于各种原因停止对指数的管理和维护，本基金将根据基金合同的约定自该情形发生之日起十个工作日内向中国证监会报告并提出解决方案，如更换基金标的指数、转换运作方式、与其他基金合并或者终止基金合同等，并在6个月内召集基金份额持有人大会进行表决，基金份额持有人大会未成功召开或就上述事项表决未通过的，基金合同终止。投资人将面临更换基金标的指数、转换运作方式、与其他基金合并、或者终止基金合同等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自指数编制机构停止标的指数的编制及发布至解决方案确定期间，基金管理人应按照指数编制机构提供的最近一个交易日的指数信息遵循基金份额持有人利益优先原则维持基金投资运作，该期间由于标的指数不再更新等原因可能导致指数表现与相关市场表现存在差异，影响投资收益。</w:t>
      </w:r>
    </w:p>
    <w:p w:rsidR="00810556" w:rsidRDefault="00810556" w:rsidP="00810556">
      <w:pPr>
        <w:pStyle w:val="neirong"/>
        <w:ind w:firstLine="480"/>
        <w:rPr>
          <w:rFonts w:hAnsi="等线"/>
          <w:color w:val="000000"/>
          <w:sz w:val="21"/>
          <w:szCs w:val="21"/>
        </w:rPr>
      </w:pPr>
      <w:r>
        <w:rPr>
          <w:rFonts w:hAnsi="等线" w:hint="eastAsia"/>
          <w:color w:val="000000"/>
          <w:sz w:val="21"/>
          <w:szCs w:val="21"/>
        </w:rPr>
        <w:t>（8）标的指数编制方案带来的风险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本基金标的指数由指数编制机构发布并管理和维护，指数编制机构有权停止编制标的指数、变更标的指数编制方案。而指数编制方案基于其样本空间仅能选取部分证券予以构建，其表征性与可投资性可能存在不成熟或不完备之处。</w:t>
      </w:r>
    </w:p>
    <w:p w:rsidR="00810556" w:rsidRDefault="00810556" w:rsidP="00810556">
      <w:pPr>
        <w:pStyle w:val="neirong"/>
        <w:ind w:firstLine="480"/>
        <w:rPr>
          <w:rFonts w:hAnsi="等线"/>
          <w:color w:val="000000"/>
          <w:sz w:val="21"/>
          <w:szCs w:val="21"/>
        </w:rPr>
      </w:pPr>
      <w:r>
        <w:rPr>
          <w:rFonts w:hAnsi="等线" w:hint="eastAsia"/>
          <w:color w:val="000000"/>
          <w:sz w:val="21"/>
          <w:szCs w:val="21"/>
        </w:rPr>
        <w:t>当指数编制机构变更标的指数编制方案，导致指数成份股样本与权重发生调整，基金管理人需调整投资组合，从而可能增加基金运作难度、跟踪误差和组合调整的风险与成本，并可能导致基金风险收益特征发生较大变化；此外，当市场环境发生变化，但指数编制机构未能及时对指数编制方案进行调整时，可能导致标的指数的表现与总体市场表现存在差异，从而影响投资收益。投资人需关注并承担上述风险，谨慎作出投资决策。</w:t>
      </w:r>
    </w:p>
    <w:p w:rsidR="00810556" w:rsidRDefault="00810556" w:rsidP="00810556">
      <w:pPr>
        <w:pStyle w:val="neirong"/>
        <w:ind w:firstLine="480"/>
        <w:rPr>
          <w:rFonts w:hAnsi="等线"/>
          <w:color w:val="000000"/>
          <w:sz w:val="21"/>
          <w:szCs w:val="21"/>
        </w:rPr>
      </w:pPr>
      <w:r>
        <w:rPr>
          <w:rFonts w:hAnsi="等线" w:hint="eastAsia"/>
          <w:color w:val="000000"/>
          <w:sz w:val="21"/>
          <w:szCs w:val="21"/>
        </w:rPr>
        <w:t>（9）标的指数变更的风险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lastRenderedPageBreak/>
        <w:t>如出现变更标的指数的情形，本基金将变更标的指数。基于原标的指数的投资政策将会改变，投资组合将随之调整，基金的收益风险特征将与新的标的指数保持一致，投资者须承担此项调整带来的风险。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（10）成份股停牌的风险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标的指数成份股可能因各种原因临时或长期停牌，发生成份股停牌时可能面临如下风险：1）基金可能因无法及时调整投资组合而导致跟踪偏离度和跟踪误差扩大。2）在极端情况下，标的指数成份股可能大面积停牌，基金可能无法及时卖出成份股以获取足额的符合要求的赎回款项，由此基金管理人可能根据基金合同的约定采取暂停赎回的措施，投资者将面临无法赎回全部或部分基金份额的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2、本基金可投资股指期货。股指期货采用保证金交易制度，由于保证金交易具有杠杆性，当出现不利行情时，微小的变动就可能会使投资人权益遭受较大损失。同时，股指期货采用每日无负债结算制度，如果没有在规定的时间内补足保证金，按规定将被强制平仓，可能给基金净值带来重大损失。</w:t>
      </w:r>
    </w:p>
    <w:p w:rsidR="00810556" w:rsidRDefault="00810556" w:rsidP="00810556">
      <w:pPr>
        <w:pStyle w:val="neirong"/>
        <w:ind w:firstLine="480"/>
        <w:rPr>
          <w:rFonts w:hAnsi="等线"/>
          <w:color w:val="000000"/>
          <w:sz w:val="21"/>
          <w:szCs w:val="21"/>
        </w:rPr>
      </w:pPr>
      <w:r>
        <w:rPr>
          <w:rFonts w:hAnsi="等线" w:hint="eastAsia"/>
          <w:color w:val="000000"/>
          <w:sz w:val="21"/>
          <w:szCs w:val="21"/>
        </w:rPr>
        <w:t>3、本基金可投资股票期权。股票期权作为一种金融衍生品，具备一些特有的风险点。投资股票期权所面临的主要风险是衍生品价格波动带来的市场风险；衍生品基础资产交易量大于市场可报价的交易量而产生的流动性风险；衍生品合约价格和标的指数价格之间的价格差的波动所造成基差风险；无法及时筹措资金满足建立或者维持衍生品合约头寸所要求的保证金而带来的保证金风险；交易对手不愿或无法履行契约而产生的信用风险；以及各类操作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4、本基金可投资国债期货。国债期货交易采用保证金交易方式，基金资产可能由于无法及时筹措资金满足建立或者维持国债期货头寸所要求的保证金而面临保证金风险。同时，该潜在损失可能成倍放大，具有杠杆性风险。另外，国债期货在对冲市场风险的使用过程中，基金资产可能因为国债期货合约与合约标的价格波动不一致而面临基差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5、本基金可投资资产支持证券。基金管理人本着谨慎和控制风险的原则进行资产支持证券投资，但仍或面临信用风险、利率风险、提前偿付风险、操作风险，所投资的资产支持证券之债务人出现违约，或由于资产支持证券信用质量降低、市场利率波动导致证券价格下降，造成基金财产损失。受资产支持证券市场规模及交易活跃程度的影响，资产支持证券存在一定的流动性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6、港股交易失败风险：港股通业务存在每日额度限制。在香港联合交易所有限公司开市前阶段，当日额度使用完毕的，新增的买单申报将面临失败的风险；在联交所持续交易时段，当日额度使用完毕的，当日本基金将面临不能通过港股通进行买入交易的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7、汇率风险：本基金可投资港股通标的股票，在交易时间内提交订单依据的港币买入参考汇率和卖出参考汇率，并不等于最终结算汇率。港股通交易日日终，中国证券登记结算有限责任公司进行净额换汇，将换汇成本按成交金额分摊至每笔交易，确定交易实际适用的结算汇率。故本基金投资面临汇率风险，汇率波动可能对基金的投资收益造成损失。</w:t>
      </w:r>
    </w:p>
    <w:p w:rsidR="00810556" w:rsidRDefault="00810556" w:rsidP="00810556">
      <w:pPr>
        <w:pStyle w:val="neirong"/>
        <w:ind w:firstLine="480"/>
        <w:rPr>
          <w:rFonts w:hAnsi="等线"/>
          <w:color w:val="000000"/>
          <w:sz w:val="21"/>
          <w:szCs w:val="21"/>
        </w:rPr>
      </w:pPr>
      <w:r>
        <w:rPr>
          <w:rFonts w:hAnsi="等线" w:hint="eastAsia"/>
          <w:color w:val="000000"/>
          <w:sz w:val="21"/>
          <w:szCs w:val="21"/>
        </w:rPr>
        <w:lastRenderedPageBreak/>
        <w:t>8、境外市场的风险。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1）本基金可通过“港股通机制”投资于香港市场，在市场进入、投资额度、可投资对象、税务政策等方面都有一定的限制，而且此类限制可能会不断调整，这些限制因素的变化可能对本基金进入或退出当地市场造成障碍，从而对投资收益以及正常的申购赎回产生直接或间接的影响。</w:t>
      </w:r>
    </w:p>
    <w:p w:rsidR="00810556" w:rsidRDefault="00810556" w:rsidP="00810556">
      <w:pPr>
        <w:pStyle w:val="neirong"/>
        <w:ind w:firstLine="480"/>
        <w:rPr>
          <w:rFonts w:hAnsi="等线"/>
          <w:color w:val="000000"/>
          <w:sz w:val="21"/>
          <w:szCs w:val="21"/>
        </w:rPr>
      </w:pPr>
      <w:r>
        <w:rPr>
          <w:rFonts w:hAnsi="等线" w:hint="eastAsia"/>
          <w:color w:val="000000"/>
          <w:sz w:val="21"/>
          <w:szCs w:val="21"/>
        </w:rPr>
        <w:t>（2）香港市场交易规则有别于内地A股市场规则，此外，在港股通机制下参与香港股票投资还将面临包括但不限于如下特殊风险：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1）港股市场股价波动较大的风险：香港市场证券实行T+0回转交易，且对个股交易价格并无涨跌幅上下限的规定，因此港股可能表现出比A股更为剧烈的股价波动；</w:t>
      </w:r>
    </w:p>
    <w:p w:rsidR="00810556" w:rsidRDefault="00810556" w:rsidP="00810556">
      <w:pPr>
        <w:pStyle w:val="neirong"/>
        <w:ind w:firstLine="480"/>
        <w:rPr>
          <w:rFonts w:hAnsi="等线"/>
          <w:color w:val="000000"/>
          <w:sz w:val="21"/>
          <w:szCs w:val="21"/>
        </w:rPr>
      </w:pPr>
      <w:r>
        <w:rPr>
          <w:rFonts w:hAnsi="等线" w:hint="eastAsia"/>
          <w:color w:val="000000"/>
          <w:sz w:val="21"/>
          <w:szCs w:val="21"/>
        </w:rPr>
        <w:t>2）港股通机制下交易日不连贯可能带来的风险：只有内地与香港两地均为交易日才可进行港股通交易，因此在内地开市香港休市的情形下，港股通不能正常交易，港股不能及时卖出，可能带来一定的流动性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3）香港出现台风、黑色暴雨或者联交所规定的其他情形时，联交所将可能停市，投资者将面临在停市期间无法进行港股通交易的风险；出现内地证券交易所证券交易服务公司认定的交易异常情况时，内地证券交易所证券交易服务公司将可能暂停提供部分或者全部港股通服务，投资者将面临在暂停服务期间无法进行港股通交易的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4）投资者因港股通股票权益分派、转换、上市公司被收购等情形或者异常情况，所取得的港股通股票以外的联交所上市证券，只能通过港股通卖出，但不得买入，内地证券交易所另有规定的除外；因港股通股票权益分派或者转换等情形取得的联交所上市股票的认购权利在联交所上市的，可以通过港股通卖出，但不得行权；因港股通股票权益分派、转换或者上市公司被收购等所取得的非联交所上市证券，可以享有相关权益，但不得通过港股通买入或卖出；</w:t>
      </w:r>
    </w:p>
    <w:p w:rsidR="00810556" w:rsidRDefault="00810556" w:rsidP="00810556">
      <w:pPr>
        <w:pStyle w:val="neirong"/>
        <w:ind w:firstLine="480"/>
        <w:rPr>
          <w:rFonts w:hAnsi="等线"/>
          <w:color w:val="000000"/>
          <w:sz w:val="21"/>
          <w:szCs w:val="21"/>
        </w:rPr>
      </w:pPr>
      <w:r>
        <w:rPr>
          <w:rFonts w:hAnsi="等线" w:hint="eastAsia"/>
          <w:color w:val="000000"/>
          <w:sz w:val="21"/>
          <w:szCs w:val="21"/>
        </w:rPr>
        <w:t>5）代理投票。由于中国结算是在汇总投资者意愿后再向香港结算提交投票意愿，中国结算对投资者设定的意愿征集期比香港结算的征集期稍早结束；投票没有权益登记日的，以投票截止日的持有作为计算基准；投票数量超出持有数量的，按照比例分配持有基数。</w:t>
      </w:r>
    </w:p>
    <w:p w:rsidR="00810556" w:rsidRDefault="00810556" w:rsidP="00810556">
      <w:pPr>
        <w:pStyle w:val="neirong"/>
        <w:ind w:firstLine="480"/>
        <w:rPr>
          <w:rFonts w:hAnsi="等线"/>
          <w:color w:val="000000"/>
          <w:sz w:val="21"/>
          <w:szCs w:val="21"/>
        </w:rPr>
      </w:pPr>
      <w:r>
        <w:rPr>
          <w:rFonts w:hAnsi="等线" w:hint="eastAsia"/>
          <w:color w:val="000000"/>
          <w:sz w:val="21"/>
          <w:szCs w:val="21"/>
        </w:rPr>
        <w:t>9、基金可根据投资策略需要或不同配置地市场环境的变化，选择将部分基金资产投资于港股或选择不将基金资产投资于港股，基金资产并非必然投资港股，存在不对港股进行投资的可能。</w:t>
      </w:r>
    </w:p>
    <w:p w:rsidR="00810556" w:rsidRDefault="00810556" w:rsidP="00810556">
      <w:pPr>
        <w:pStyle w:val="neirong"/>
        <w:ind w:firstLine="480"/>
        <w:rPr>
          <w:rFonts w:hAnsi="等线"/>
          <w:color w:val="000000"/>
          <w:sz w:val="21"/>
          <w:szCs w:val="21"/>
        </w:rPr>
      </w:pPr>
      <w:r>
        <w:rPr>
          <w:rFonts w:hAnsi="等线" w:hint="eastAsia"/>
          <w:color w:val="000000"/>
          <w:sz w:val="21"/>
          <w:szCs w:val="21"/>
        </w:rPr>
        <w:t>10、科创板的投资风险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（1）流动性风险。科创板投资者门槛较高，流动性可能弱于A股其他板块，且机构投资者可能在特定阶段对科创板个股形成一致性预期，存在基金持有股票无法正常成交的风险。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（2）退市风险。科创板执行比A股其他板块更为严格的退市标准，且不再设置暂停上市、恢复上市和重新上市环节，上市公司退市风险更大，可能给基金净值带来不利影响。</w:t>
      </w:r>
    </w:p>
    <w:p w:rsidR="00810556" w:rsidRDefault="00810556" w:rsidP="00810556">
      <w:pPr>
        <w:pStyle w:val="neirong"/>
        <w:ind w:firstLine="480"/>
        <w:rPr>
          <w:rFonts w:hAnsi="等线"/>
          <w:color w:val="000000"/>
          <w:sz w:val="21"/>
          <w:szCs w:val="21"/>
        </w:rPr>
      </w:pPr>
      <w:r>
        <w:rPr>
          <w:rFonts w:hAnsi="等线" w:hint="eastAsia"/>
          <w:color w:val="000000"/>
          <w:sz w:val="21"/>
          <w:szCs w:val="21"/>
        </w:rPr>
        <w:lastRenderedPageBreak/>
        <w:t>（3）投资集中风险。因科创板上市企业均为科技创新成长性企业，其商业模式、盈利风险、业绩波动等特征较为相似，基金难以通过分散投资降低投资风险，若股票价格同向波动，将引起基金净值波动。</w:t>
      </w:r>
    </w:p>
    <w:p w:rsidR="00810556" w:rsidRDefault="00810556" w:rsidP="00810556">
      <w:pPr>
        <w:pStyle w:val="neirong"/>
        <w:ind w:firstLine="480"/>
        <w:rPr>
          <w:rFonts w:hAnsi="等线"/>
          <w:color w:val="000000"/>
          <w:sz w:val="21"/>
          <w:szCs w:val="21"/>
        </w:rPr>
      </w:pPr>
      <w:r>
        <w:rPr>
          <w:rFonts w:hAnsi="等线" w:hint="eastAsia"/>
          <w:color w:val="000000"/>
          <w:sz w:val="21"/>
          <w:szCs w:val="21"/>
        </w:rPr>
        <w:t>11、融资业务的主要风险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（1）市场风险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1）可能放大投资损失的风险：融资业务具有杠杆效应，它在放大投资收益的同时也必然放大投资风险。将股票作为担保品进行融资交易时，既需要承担原有的股票价格下跌带来的风险，又得承担融资买入股票带来的风险，同时还须支付相应的利息和费用，由此承担的风险可能远远超过普通证券交易。</w:t>
      </w:r>
    </w:p>
    <w:p w:rsidR="00810556" w:rsidRDefault="00810556" w:rsidP="00810556">
      <w:pPr>
        <w:pStyle w:val="neirong"/>
        <w:ind w:firstLine="480"/>
        <w:rPr>
          <w:rFonts w:hAnsi="等线"/>
          <w:color w:val="000000"/>
          <w:sz w:val="21"/>
          <w:szCs w:val="21"/>
        </w:rPr>
      </w:pPr>
      <w:r>
        <w:rPr>
          <w:rFonts w:hAnsi="等线" w:hint="eastAsia"/>
          <w:color w:val="000000"/>
          <w:sz w:val="21"/>
          <w:szCs w:val="21"/>
        </w:rPr>
        <w:t>2）利率变动带来的成本加大风险：在从事融资交易期间，如中国人民银行规定的同期贷款基准利率调高，证券公司将相应调高融资利率，投资成本也因为利率的上调而增加，将面临融资成本增加的风险。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3）强制平仓风险：融资交易中，投资组合与证券公司间除了普通交易的委托买卖关系外，还存在着较为复杂的债权债务关系，以及由于债权债务产生的信托关系和担保关系。证券公司为保护自身债权，对投资组合信用账户的资产负债情况实时监控，在一定条件下可以对投资组合担保资产执行强制平仓,且平仓的品种、数量、价格、时机将不受投资组合的控制，平仓的数额可能超过全部负债，由此给投资组合带来损失。</w:t>
      </w:r>
    </w:p>
    <w:p w:rsidR="00810556" w:rsidRDefault="00810556" w:rsidP="00810556">
      <w:pPr>
        <w:pStyle w:val="neirong"/>
        <w:ind w:firstLine="480"/>
        <w:rPr>
          <w:rFonts w:hAnsi="等线"/>
          <w:color w:val="000000"/>
          <w:sz w:val="21"/>
          <w:szCs w:val="21"/>
        </w:rPr>
      </w:pPr>
      <w:r>
        <w:rPr>
          <w:rFonts w:hAnsi="等线" w:hint="eastAsia"/>
          <w:color w:val="000000"/>
          <w:sz w:val="21"/>
          <w:szCs w:val="21"/>
        </w:rPr>
        <w:t>4）外部监管风险：在融资交易出现异常或市场出现系统性风险时，监管部门、证券交易所和证券公司都将可能对融资交易采取相应措施，例如提高融资保证金比例、维持担保比例和强制平仓的条件等，以维护市场平稳运行。这些措施将可能给本金带来杠杆效应降低、甚至提前进入追加担保物或强制平仓状态等潜在损失。</w:t>
      </w:r>
    </w:p>
    <w:p w:rsidR="00810556" w:rsidRDefault="00810556" w:rsidP="00810556">
      <w:pPr>
        <w:pStyle w:val="neirong"/>
        <w:ind w:firstLine="480"/>
        <w:rPr>
          <w:rFonts w:hAnsi="等线"/>
          <w:color w:val="000000"/>
          <w:sz w:val="21"/>
          <w:szCs w:val="21"/>
        </w:rPr>
      </w:pPr>
      <w:r>
        <w:rPr>
          <w:rFonts w:hAnsi="等线" w:hint="eastAsia"/>
          <w:color w:val="000000"/>
          <w:sz w:val="21"/>
          <w:szCs w:val="21"/>
        </w:rPr>
        <w:t>（2）流动性风险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融资业务的流动性风险主要指当基金不能按照约定的期限清偿债务，或上市证券价格波动导致担保物价值与融资债务之间的比例低于平仓维持担保比例，且不能按照约定的时间追加担保物时面临强制平仓的风险。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（3）信用风险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信用风险主要指交易对手违约产生的风险。一方面，如果证券公司没有按照融资合同的要求履行义务可能带来风险；另一方面，若在从事融资交易期间，证券公司融资业务资格、融资业务交易权限被取消或被暂停，证券公司可能无法履约，则投资组合可能会面临一定的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12、本基金参与转融通证券出借业务的风险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本基金可根据法律法规和基金合同的约定参与转融通证券出借业务，可能存在转融通证券出借业务特有风险，包括但不限于以下风险：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（1）流动性风险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面对大额赎回时，可能因证券出借原因发生无法及时变现、支付赎回款项的风险；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（2）信用风险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lastRenderedPageBreak/>
        <w:t>证券出借对手方可能无法及时归还证券、无法支付相应权益补偿及借券费用的风险；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（3）市场风险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证券出借后可能面临出借期间无法及时处置证券的风险。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13、存托凭证投资风险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本基金可投资存托凭证，存托凭证是由存托人签发、以境外证券为基础在中国境内发行，代表境外基础证券权益。存托凭证持有人实际享有的权益与境外基础证券持有人的权益虽然基本相当，但并不能等同于直接持有境外基础证券。投资于存托凭证可能会面临由于境内外市场上市交易规则、上市公司治理结构、股东权利等差异带来的相关成本和投资风险。在交易和持有存托凭证过程中需要承担的义务及可能受到的限制，应当关注证券交易普遍具有的宏观经济风险、政策风险、市场风险、不可抗力风险等。</w:t>
      </w:r>
    </w:p>
    <w:p w:rsidR="00810556" w:rsidRDefault="00810556" w:rsidP="00810556">
      <w:pPr>
        <w:pStyle w:val="neirong"/>
        <w:ind w:firstLine="480"/>
        <w:rPr>
          <w:rFonts w:hAnsi="等线"/>
          <w:color w:val="000000"/>
          <w:sz w:val="21"/>
          <w:szCs w:val="21"/>
        </w:rPr>
      </w:pPr>
      <w:r>
        <w:rPr>
          <w:rFonts w:hAnsi="等线" w:hint="eastAsia"/>
          <w:color w:val="000000"/>
          <w:sz w:val="21"/>
          <w:szCs w:val="21"/>
        </w:rPr>
        <w:t>14、基金转型的风险</w:t>
      </w:r>
    </w:p>
    <w:p w:rsidR="00810556" w:rsidRDefault="00810556" w:rsidP="00810556">
      <w:pPr>
        <w:pStyle w:val="neirong"/>
        <w:ind w:firstLine="480"/>
        <w:rPr>
          <w:rFonts w:hAnsi="等线"/>
          <w:color w:val="000000"/>
          <w:sz w:val="21"/>
          <w:szCs w:val="21"/>
        </w:rPr>
      </w:pPr>
      <w:r>
        <w:rPr>
          <w:rFonts w:hAnsi="等线" w:hint="eastAsia"/>
          <w:color w:val="000000"/>
          <w:sz w:val="21"/>
          <w:szCs w:val="21"/>
        </w:rPr>
        <w:t>若基金管理人注册并成立追踪标的指数的交易型开放式指数基金（ETF），在不改变本基金投资目标的前提下，本基金可变更为该ETF的联接基金。该联接基金将其绝大部分基金财产投资于跟踪同一标的指数的ETF，紧密跟踪标的指数表现，追求跟踪偏离度和跟踪误差的最小化。以上变更需经基金管理人和基金托管人协商一致后修改基金合同，但不需召开基金份额持有人大会审议。因此，本基金存在自动转型的风险。</w:t>
      </w:r>
    </w:p>
    <w:bookmarkEnd w:id="1"/>
    <w:p w:rsidR="00810556" w:rsidRDefault="00810556" w:rsidP="00810556">
      <w:pPr>
        <w:pStyle w:val="neirong"/>
        <w:spacing w:before="0"/>
        <w:ind w:left="0" w:firstLine="480"/>
        <w:rPr>
          <w:rFonts w:hAnsi="等线"/>
          <w:color w:val="000000"/>
          <w:sz w:val="21"/>
          <w:szCs w:val="21"/>
        </w:rPr>
      </w:pPr>
      <w:r>
        <w:rPr>
          <w:rFonts w:hAnsi="等线" w:hint="eastAsia"/>
          <w:color w:val="000000"/>
          <w:sz w:val="21"/>
          <w:szCs w:val="21"/>
        </w:rPr>
        <w:t>-本基金法律文件风险收益特征表述与销售机构基金风险评价可能不一致的风险</w:t>
      </w:r>
    </w:p>
    <w:bookmarkEnd w:id="2"/>
    <w:p w:rsidR="00810556" w:rsidRDefault="00810556" w:rsidP="00810556">
      <w:pPr>
        <w:spacing w:line="288" w:lineRule="auto"/>
        <w:rPr>
          <w:rFonts w:hAnsi="等线"/>
          <w:color w:val="000000"/>
          <w:szCs w:val="21"/>
        </w:rPr>
      </w:pPr>
    </w:p>
    <w:p w:rsidR="00810556" w:rsidRDefault="00810556" w:rsidP="00810556">
      <w:pPr>
        <w:pStyle w:val="zhangjiep"/>
        <w:rPr>
          <w:rFonts w:hAnsi="等线"/>
          <w:color w:val="000000"/>
          <w:sz w:val="21"/>
          <w:szCs w:val="21"/>
        </w:rPr>
      </w:pPr>
      <w:r>
        <w:rPr>
          <w:rFonts w:hAnsi="等线" w:hint="eastAsia"/>
          <w:b/>
          <w:color w:val="000000"/>
          <w:sz w:val="21"/>
          <w:szCs w:val="21"/>
        </w:rPr>
        <w:t xml:space="preserve">（二）重要提示 </w:t>
      </w:r>
    </w:p>
    <w:p w:rsidR="00810556" w:rsidRDefault="00810556" w:rsidP="00810556">
      <w:pPr>
        <w:pStyle w:val="neirong"/>
        <w:spacing w:before="0"/>
        <w:ind w:left="0" w:firstLine="480"/>
        <w:rPr>
          <w:rFonts w:hAnsi="等线"/>
          <w:color w:val="000000"/>
          <w:sz w:val="21"/>
          <w:szCs w:val="21"/>
        </w:rPr>
      </w:pPr>
      <w:r>
        <w:rPr>
          <w:rFonts w:hAnsi="等线" w:hint="eastAsia"/>
          <w:color w:val="000000"/>
          <w:sz w:val="21"/>
          <w:szCs w:val="21"/>
        </w:rPr>
        <w:t>中国证监会对本基金募集的注册，并不表明其对本基金的投资价值、市场前景和收益做出实质性判断或保证，也不表明投资于本基金没有风险。</w:t>
      </w:r>
    </w:p>
    <w:p w:rsidR="00810556" w:rsidRDefault="00810556" w:rsidP="00810556">
      <w:pPr>
        <w:pStyle w:val="neirong"/>
        <w:spacing w:before="0"/>
        <w:ind w:left="0" w:firstLine="480"/>
        <w:rPr>
          <w:rFonts w:hAnsi="等线"/>
          <w:color w:val="000000"/>
          <w:sz w:val="21"/>
          <w:szCs w:val="21"/>
        </w:rPr>
      </w:pPr>
      <w:r>
        <w:rPr>
          <w:rFonts w:hAnsi="等线" w:hint="eastAsia"/>
          <w:color w:val="000000"/>
          <w:sz w:val="21"/>
          <w:szCs w:val="21"/>
        </w:rPr>
        <w:t>基金管理人依照恪尽职守、诚实信用、谨慎勤勉的原则管理和运用基金财产，但不保证投资于本基金一定盈利，也不保证最低收益。</w:t>
      </w:r>
    </w:p>
    <w:p w:rsidR="00810556" w:rsidRDefault="00810556" w:rsidP="00810556">
      <w:pPr>
        <w:pStyle w:val="neirong"/>
        <w:spacing w:before="0"/>
        <w:ind w:left="0" w:firstLine="480"/>
        <w:rPr>
          <w:rFonts w:hAnsi="等线"/>
          <w:color w:val="000000"/>
          <w:sz w:val="21"/>
          <w:szCs w:val="21"/>
        </w:rPr>
      </w:pPr>
      <w:r>
        <w:rPr>
          <w:rFonts w:hAnsi="等线" w:hint="eastAsia"/>
          <w:color w:val="000000"/>
          <w:sz w:val="21"/>
          <w:szCs w:val="21"/>
        </w:rPr>
        <w:t xml:space="preserve">基金投资者自依据基金合同取得基金份额，即成为本基金的基金份额持有人和基金合同的当事人。 </w:t>
      </w:r>
    </w:p>
    <w:p w:rsidR="00810556" w:rsidRDefault="00810556" w:rsidP="00810556">
      <w:pPr>
        <w:pStyle w:val="neirong"/>
        <w:ind w:firstLine="480"/>
        <w:rPr>
          <w:rFonts w:hAnsi="等线"/>
          <w:color w:val="000000"/>
          <w:sz w:val="21"/>
          <w:szCs w:val="21"/>
        </w:rPr>
      </w:pPr>
      <w:r>
        <w:rPr>
          <w:rFonts w:hAnsi="等线" w:hint="eastAsia"/>
          <w:color w:val="000000"/>
          <w:sz w:val="21"/>
          <w:szCs w:val="21"/>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等。</w:t>
      </w:r>
    </w:p>
    <w:p w:rsidR="00810556" w:rsidRDefault="00810556" w:rsidP="00810556">
      <w:pPr>
        <w:pStyle w:val="neirong"/>
        <w:ind w:firstLine="480"/>
        <w:rPr>
          <w:rFonts w:hAnsi="等线"/>
          <w:bCs/>
          <w:color w:val="000000"/>
          <w:sz w:val="21"/>
          <w:szCs w:val="21"/>
        </w:rPr>
      </w:pPr>
      <w:r>
        <w:rPr>
          <w:rFonts w:hAnsi="等线" w:hint="eastAsia"/>
          <w:bCs/>
          <w:color w:val="000000"/>
          <w:sz w:val="21"/>
          <w:szCs w:val="21"/>
        </w:rPr>
        <w:t>各方当事人同意，因基金合同而产生的或与基金合同有关的一切争议，除经友好协商、调解可以解决的，应提交上海国际经济贸易仲裁委员会，根据该会当时有效的仲裁规则进行仲裁，仲裁的地点在上海市，仲裁裁决是终局性的并对相关各方均有约束力，除非仲裁裁决另有规定，仲裁费、律师费用由败诉方承担。</w:t>
      </w:r>
    </w:p>
    <w:p w:rsidR="00810556" w:rsidRDefault="00810556" w:rsidP="00810556">
      <w:pPr>
        <w:pStyle w:val="neirong"/>
        <w:ind w:firstLine="480"/>
        <w:rPr>
          <w:rFonts w:hAnsi="等线"/>
          <w:bCs/>
          <w:color w:val="000000"/>
          <w:sz w:val="21"/>
          <w:szCs w:val="21"/>
        </w:rPr>
      </w:pPr>
      <w:r>
        <w:rPr>
          <w:rFonts w:hAnsi="等线" w:hint="eastAsia"/>
          <w:bCs/>
          <w:color w:val="000000"/>
          <w:sz w:val="21"/>
          <w:szCs w:val="21"/>
        </w:rPr>
        <w:t>争议处理期间，基金管理人、基金托管人应恪守各自的职责，继续忠实、勤勉、尽责地履行基金合同规定的义务，维护基金份额持有人的合法权益。</w:t>
      </w:r>
    </w:p>
    <w:p w:rsidR="00810556" w:rsidRDefault="00810556" w:rsidP="00810556">
      <w:pPr>
        <w:pStyle w:val="neirong"/>
        <w:spacing w:before="0"/>
        <w:ind w:left="0" w:firstLine="480"/>
        <w:rPr>
          <w:rFonts w:hAnsi="等线"/>
          <w:color w:val="000000"/>
          <w:sz w:val="21"/>
          <w:szCs w:val="21"/>
        </w:rPr>
      </w:pPr>
      <w:r>
        <w:rPr>
          <w:rFonts w:hAnsi="等线" w:hint="eastAsia"/>
          <w:bCs/>
          <w:color w:val="000000"/>
          <w:sz w:val="21"/>
          <w:szCs w:val="21"/>
        </w:rPr>
        <w:lastRenderedPageBreak/>
        <w:t>基金合同受中国法律（为基金合同之目的，不包括香港、澳门特别行政区和台湾地区法律）管辖并从其解释。</w:t>
      </w:r>
    </w:p>
    <w:p w:rsidR="00810556" w:rsidRDefault="00810556" w:rsidP="00810556">
      <w:pPr>
        <w:spacing w:line="288" w:lineRule="auto"/>
        <w:rPr>
          <w:rFonts w:hAnsi="等线"/>
          <w:color w:val="000000"/>
          <w:szCs w:val="21"/>
        </w:rPr>
      </w:pPr>
    </w:p>
    <w:p w:rsidR="00810556" w:rsidRDefault="00810556" w:rsidP="00810556">
      <w:pPr>
        <w:pStyle w:val="zhangjiep"/>
        <w:rPr>
          <w:rFonts w:hAnsi="等线"/>
          <w:color w:val="000000"/>
          <w:sz w:val="21"/>
          <w:szCs w:val="21"/>
        </w:rPr>
      </w:pPr>
      <w:r>
        <w:rPr>
          <w:rFonts w:hAnsi="等线" w:hint="eastAsia"/>
          <w:b/>
          <w:color w:val="000000"/>
          <w:sz w:val="21"/>
          <w:szCs w:val="21"/>
        </w:rPr>
        <w:t>五、 其他资料查询方式</w:t>
      </w:r>
    </w:p>
    <w:p w:rsidR="00810556" w:rsidRDefault="00810556" w:rsidP="00810556">
      <w:pPr>
        <w:pStyle w:val="neirong"/>
        <w:spacing w:before="0"/>
        <w:ind w:left="0" w:firstLine="480"/>
        <w:rPr>
          <w:rFonts w:hAnsi="等线"/>
          <w:color w:val="000000"/>
          <w:sz w:val="21"/>
          <w:szCs w:val="21"/>
        </w:rPr>
      </w:pPr>
      <w:r>
        <w:rPr>
          <w:rFonts w:hAnsi="等线" w:hint="eastAsia"/>
          <w:color w:val="000000"/>
          <w:sz w:val="21"/>
          <w:szCs w:val="21"/>
        </w:rPr>
        <w:t>以下资料详见基金管理人网站[www.zofund.com][客服电话：400-700-9700]</w:t>
      </w:r>
    </w:p>
    <w:p w:rsidR="00810556" w:rsidRDefault="00810556" w:rsidP="00810556">
      <w:pPr>
        <w:pStyle w:val="neirong"/>
        <w:spacing w:before="0"/>
        <w:ind w:left="0" w:firstLine="480"/>
        <w:rPr>
          <w:rFonts w:hAnsi="等线"/>
          <w:color w:val="000000"/>
          <w:sz w:val="21"/>
          <w:szCs w:val="21"/>
        </w:rPr>
      </w:pPr>
      <w:r>
        <w:rPr>
          <w:rFonts w:hAnsi="等线" w:hint="eastAsia"/>
          <w:color w:val="000000"/>
          <w:sz w:val="21"/>
          <w:szCs w:val="21"/>
        </w:rPr>
        <w:t>1、《中欧中证A50指数证券投资基金基金合同》</w:t>
      </w:r>
    </w:p>
    <w:p w:rsidR="00810556" w:rsidRDefault="00810556" w:rsidP="00810556">
      <w:pPr>
        <w:pStyle w:val="neirong"/>
        <w:spacing w:before="0"/>
        <w:ind w:left="0" w:firstLine="480"/>
        <w:rPr>
          <w:rFonts w:hAnsi="等线"/>
          <w:color w:val="000000"/>
          <w:sz w:val="21"/>
          <w:szCs w:val="21"/>
        </w:rPr>
      </w:pPr>
      <w:r>
        <w:rPr>
          <w:rFonts w:hAnsi="等线" w:hint="eastAsia"/>
          <w:color w:val="000000"/>
          <w:sz w:val="21"/>
          <w:szCs w:val="21"/>
        </w:rPr>
        <w:t>《中欧中证A50指数证券投资基金托管协议》</w:t>
      </w:r>
    </w:p>
    <w:p w:rsidR="00810556" w:rsidRDefault="00810556" w:rsidP="00810556">
      <w:pPr>
        <w:pStyle w:val="neirong"/>
        <w:spacing w:before="0"/>
        <w:ind w:left="0" w:firstLine="480"/>
        <w:rPr>
          <w:rFonts w:hAnsi="等线"/>
          <w:color w:val="000000"/>
          <w:sz w:val="21"/>
          <w:szCs w:val="21"/>
        </w:rPr>
      </w:pPr>
      <w:r>
        <w:rPr>
          <w:rFonts w:hAnsi="等线" w:hint="eastAsia"/>
          <w:color w:val="000000"/>
          <w:sz w:val="21"/>
          <w:szCs w:val="21"/>
        </w:rPr>
        <w:t>《中欧中证A50指数证券投资基金招募说明书》</w:t>
      </w:r>
    </w:p>
    <w:p w:rsidR="00810556" w:rsidRDefault="00810556" w:rsidP="00810556">
      <w:pPr>
        <w:pStyle w:val="neirong"/>
        <w:spacing w:before="0"/>
        <w:ind w:left="0" w:firstLine="480"/>
        <w:rPr>
          <w:rFonts w:hAnsi="等线"/>
          <w:color w:val="000000"/>
          <w:sz w:val="21"/>
          <w:szCs w:val="21"/>
        </w:rPr>
      </w:pPr>
      <w:r>
        <w:rPr>
          <w:rFonts w:hAnsi="等线" w:hint="eastAsia"/>
          <w:color w:val="000000"/>
          <w:sz w:val="21"/>
          <w:szCs w:val="21"/>
        </w:rPr>
        <w:t>2、定期报告，包括基金季度报告、中期报告和年度报告</w:t>
      </w:r>
    </w:p>
    <w:p w:rsidR="00810556" w:rsidRDefault="00810556" w:rsidP="00810556">
      <w:pPr>
        <w:pStyle w:val="neirong"/>
        <w:spacing w:before="0"/>
        <w:ind w:left="0" w:firstLine="480"/>
        <w:rPr>
          <w:rFonts w:hAnsi="等线"/>
          <w:color w:val="000000"/>
          <w:sz w:val="21"/>
          <w:szCs w:val="21"/>
        </w:rPr>
      </w:pPr>
      <w:r>
        <w:rPr>
          <w:rFonts w:hAnsi="等线" w:hint="eastAsia"/>
          <w:color w:val="000000"/>
          <w:sz w:val="21"/>
          <w:szCs w:val="21"/>
        </w:rPr>
        <w:t>3、基金份额净值</w:t>
      </w:r>
    </w:p>
    <w:p w:rsidR="00810556" w:rsidRDefault="00810556" w:rsidP="00810556">
      <w:pPr>
        <w:pStyle w:val="neirong"/>
        <w:spacing w:before="0"/>
        <w:ind w:left="0" w:firstLine="480"/>
        <w:rPr>
          <w:rFonts w:hAnsi="等线"/>
          <w:color w:val="000000"/>
          <w:sz w:val="21"/>
          <w:szCs w:val="21"/>
        </w:rPr>
      </w:pPr>
      <w:r>
        <w:rPr>
          <w:rFonts w:hAnsi="等线" w:hint="eastAsia"/>
          <w:color w:val="000000"/>
          <w:sz w:val="21"/>
          <w:szCs w:val="21"/>
        </w:rPr>
        <w:t>4、基金销售机构及联系方式</w:t>
      </w:r>
    </w:p>
    <w:p w:rsidR="00810556" w:rsidRDefault="00810556" w:rsidP="00810556">
      <w:pPr>
        <w:pStyle w:val="neirong"/>
        <w:spacing w:before="0"/>
        <w:ind w:left="0" w:firstLine="480"/>
        <w:rPr>
          <w:rFonts w:hAnsi="等线"/>
          <w:color w:val="000000"/>
          <w:sz w:val="21"/>
          <w:szCs w:val="21"/>
        </w:rPr>
      </w:pPr>
      <w:r>
        <w:rPr>
          <w:rFonts w:hAnsi="等线" w:hint="eastAsia"/>
          <w:color w:val="000000"/>
          <w:sz w:val="21"/>
          <w:szCs w:val="21"/>
        </w:rPr>
        <w:t>5、其他重要资料</w:t>
      </w:r>
    </w:p>
    <w:p w:rsidR="00810556" w:rsidRDefault="00810556" w:rsidP="00810556">
      <w:pPr>
        <w:spacing w:line="288" w:lineRule="auto"/>
        <w:rPr>
          <w:rFonts w:hAnsi="等线"/>
          <w:color w:val="000000"/>
          <w:szCs w:val="21"/>
        </w:rPr>
      </w:pPr>
    </w:p>
    <w:p w:rsidR="00810556" w:rsidRDefault="00810556" w:rsidP="00810556">
      <w:pPr>
        <w:pStyle w:val="zhangjiep"/>
        <w:rPr>
          <w:rFonts w:hAnsi="等线"/>
          <w:color w:val="000000"/>
          <w:sz w:val="21"/>
          <w:szCs w:val="21"/>
        </w:rPr>
      </w:pPr>
      <w:r>
        <w:rPr>
          <w:rFonts w:hAnsi="等线" w:hint="eastAsia"/>
          <w:b/>
          <w:color w:val="000000"/>
          <w:sz w:val="21"/>
          <w:szCs w:val="21"/>
        </w:rPr>
        <w:t>六、 其他情况说明</w:t>
      </w:r>
    </w:p>
    <w:p w:rsidR="000F0EBE" w:rsidRPr="00810556" w:rsidRDefault="00810556" w:rsidP="00420013">
      <w:pPr>
        <w:spacing w:line="360" w:lineRule="auto"/>
        <w:ind w:right="28" w:firstLineChars="200" w:firstLine="420"/>
        <w:rPr>
          <w:rFonts w:ascii="宋体" w:hAnsi="宋体"/>
          <w:sz w:val="24"/>
          <w:szCs w:val="24"/>
        </w:rPr>
      </w:pPr>
      <w:r>
        <w:rPr>
          <w:rFonts w:hAnsi="等线" w:hint="eastAsia"/>
          <w:color w:val="000000"/>
          <w:szCs w:val="21"/>
        </w:rPr>
        <w:t>无</w:t>
      </w:r>
    </w:p>
    <w:sectPr w:rsidR="000F0EBE" w:rsidRPr="0081055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C5C" w:rsidRDefault="00001C5C" w:rsidP="0039425D">
      <w:r>
        <w:separator/>
      </w:r>
    </w:p>
  </w:endnote>
  <w:endnote w:type="continuationSeparator" w:id="0">
    <w:p w:rsidR="00001C5C" w:rsidRDefault="00001C5C" w:rsidP="00394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C5C" w:rsidRDefault="00001C5C" w:rsidP="0039425D">
      <w:r>
        <w:separator/>
      </w:r>
    </w:p>
  </w:footnote>
  <w:footnote w:type="continuationSeparator" w:id="0">
    <w:p w:rsidR="00001C5C" w:rsidRDefault="00001C5C" w:rsidP="003942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556"/>
    <w:rsid w:val="00001C5C"/>
    <w:rsid w:val="00042D27"/>
    <w:rsid w:val="00071B9C"/>
    <w:rsid w:val="000F0EBE"/>
    <w:rsid w:val="00156FE4"/>
    <w:rsid w:val="00264AA0"/>
    <w:rsid w:val="003163A6"/>
    <w:rsid w:val="00331B0A"/>
    <w:rsid w:val="00384BA6"/>
    <w:rsid w:val="0039425D"/>
    <w:rsid w:val="003B3907"/>
    <w:rsid w:val="00420013"/>
    <w:rsid w:val="00745CDF"/>
    <w:rsid w:val="0075151A"/>
    <w:rsid w:val="00790555"/>
    <w:rsid w:val="007E1B06"/>
    <w:rsid w:val="00801015"/>
    <w:rsid w:val="00810556"/>
    <w:rsid w:val="00832C19"/>
    <w:rsid w:val="008923D4"/>
    <w:rsid w:val="008E1B06"/>
    <w:rsid w:val="00A350F4"/>
    <w:rsid w:val="00A91B51"/>
    <w:rsid w:val="00BC03FD"/>
    <w:rsid w:val="00C85841"/>
    <w:rsid w:val="00DD6389"/>
    <w:rsid w:val="00E33C90"/>
    <w:rsid w:val="00E41B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0182238"/>
  <w15:chartTrackingRefBased/>
  <w15:docId w15:val="{1A61E290-B5BF-4127-8B47-4F268457E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055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zhangjiep">
    <w:name w:val="zhangjie_p"/>
    <w:basedOn w:val="a"/>
    <w:rsid w:val="00810556"/>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left">
    <w:name w:val="biaoge_left"/>
    <w:basedOn w:val="a"/>
    <w:rsid w:val="00810556"/>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biaogecenter">
    <w:name w:val="biaoge_center"/>
    <w:basedOn w:val="a"/>
    <w:rsid w:val="00810556"/>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biaogeright">
    <w:name w:val="biaoge_right"/>
    <w:basedOn w:val="a"/>
    <w:rsid w:val="00810556"/>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rsid w:val="00810556"/>
    <w:pPr>
      <w:widowControl/>
      <w:autoSpaceDE w:val="0"/>
      <w:autoSpaceDN w:val="0"/>
      <w:adjustRightInd w:val="0"/>
      <w:spacing w:before="29" w:line="288" w:lineRule="auto"/>
      <w:ind w:left="15"/>
      <w:jc w:val="left"/>
    </w:pPr>
    <w:rPr>
      <w:rFonts w:ascii="宋体" w:hAnsi="宋体" w:cs="宋体"/>
      <w:kern w:val="0"/>
      <w:sz w:val="24"/>
      <w:szCs w:val="24"/>
    </w:rPr>
  </w:style>
  <w:style w:type="table" w:styleId="a3">
    <w:name w:val="Table Grid"/>
    <w:basedOn w:val="a1"/>
    <w:uiPriority w:val="59"/>
    <w:rsid w:val="00810556"/>
    <w:rPr>
      <w:rFonts w:ascii="Times New Roman" w:eastAsia="宋体" w:hAnsi="Times New Roman" w:cs="Times New Roman"/>
      <w:kern w:val="0"/>
      <w:sz w:val="20"/>
      <w:szCs w:val="20"/>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39425D"/>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39425D"/>
    <w:rPr>
      <w:rFonts w:ascii="Times New Roman" w:eastAsia="宋体" w:hAnsi="Times New Roman" w:cs="Times New Roman"/>
      <w:sz w:val="18"/>
      <w:szCs w:val="18"/>
    </w:rPr>
  </w:style>
  <w:style w:type="paragraph" w:styleId="a6">
    <w:name w:val="footer"/>
    <w:basedOn w:val="a"/>
    <w:link w:val="a7"/>
    <w:uiPriority w:val="99"/>
    <w:unhideWhenUsed/>
    <w:rsid w:val="0039425D"/>
    <w:pPr>
      <w:tabs>
        <w:tab w:val="center" w:pos="4153"/>
        <w:tab w:val="right" w:pos="8306"/>
      </w:tabs>
      <w:snapToGrid w:val="0"/>
      <w:jc w:val="left"/>
    </w:pPr>
    <w:rPr>
      <w:sz w:val="18"/>
      <w:szCs w:val="18"/>
    </w:rPr>
  </w:style>
  <w:style w:type="character" w:customStyle="1" w:styleId="a7">
    <w:name w:val="页脚 字符"/>
    <w:basedOn w:val="a0"/>
    <w:link w:val="a6"/>
    <w:uiPriority w:val="99"/>
    <w:rsid w:val="0039425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0274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11</Pages>
  <Words>1489</Words>
  <Characters>8488</Characters>
  <Application>Microsoft Office Word</Application>
  <DocSecurity>0</DocSecurity>
  <Lines>70</Lines>
  <Paragraphs>19</Paragraphs>
  <ScaleCrop>false</ScaleCrop>
  <Company/>
  <LinksUpToDate>false</LinksUpToDate>
  <CharactersWithSpaces>9958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罗樱浦</dc:creator>
  <cp:keywords/>
  <dc:description/>
  <cp:lastModifiedBy>Wang Xiao</cp:lastModifiedBy>
  <cp:revision>10</cp:revision>
  <dcterms:created xsi:type="dcterms:W3CDTF">2024-07-08T08:16:00Z</dcterms:created>
  <dcterms:modified xsi:type="dcterms:W3CDTF">2024-07-10T10:07:00Z</dcterms:modified>
</cp:coreProperties>
</file>